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B9B" w:rsidRPr="001D40E5" w:rsidRDefault="006F6DC8" w:rsidP="006F6DC8">
      <w:pPr>
        <w:jc w:val="center"/>
        <w:rPr>
          <w:b/>
          <w:sz w:val="24"/>
          <w:u w:val="single"/>
        </w:rPr>
      </w:pPr>
      <w:r w:rsidRPr="001D40E5">
        <w:rPr>
          <w:b/>
          <w:sz w:val="24"/>
          <w:u w:val="single"/>
        </w:rPr>
        <w:t>Reply to queries raised on ARR &amp; Wheeling tariff proposals for 4</w:t>
      </w:r>
      <w:r w:rsidRPr="001D40E5">
        <w:rPr>
          <w:b/>
          <w:sz w:val="24"/>
          <w:u w:val="single"/>
          <w:vertAlign w:val="superscript"/>
        </w:rPr>
        <w:t>th</w:t>
      </w:r>
      <w:r w:rsidRPr="001D40E5">
        <w:rPr>
          <w:b/>
          <w:sz w:val="24"/>
          <w:u w:val="single"/>
        </w:rPr>
        <w:t xml:space="preserve"> MYT Control Period from FY 2019-20 to FY 2023-24</w:t>
      </w:r>
    </w:p>
    <w:p w:rsidR="00B1223D" w:rsidRDefault="00A14F8E" w:rsidP="00EC03CB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Reply to Query – I. General (Point No.1)</w:t>
      </w:r>
    </w:p>
    <w:p w:rsidR="002D0EBF" w:rsidRPr="00386FFB" w:rsidRDefault="00386FFB" w:rsidP="002D0EBF">
      <w:pPr>
        <w:pStyle w:val="ListParagraph"/>
        <w:rPr>
          <w:b/>
          <w:sz w:val="24"/>
          <w:u w:val="single"/>
        </w:rPr>
      </w:pPr>
      <w:r w:rsidRPr="00386FFB">
        <w:rPr>
          <w:sz w:val="24"/>
        </w:rPr>
        <w:t xml:space="preserve">The audited annual accounts for FY 2014-15, FY 2015-16, FY 2016-17, FY 2017-18 and FY 2018-19 is enclosed as </w:t>
      </w:r>
      <w:r w:rsidRPr="00386FFB">
        <w:rPr>
          <w:b/>
          <w:sz w:val="24"/>
          <w:u w:val="single"/>
        </w:rPr>
        <w:t>Annexure-VI</w:t>
      </w:r>
      <w:r w:rsidR="00983A77">
        <w:rPr>
          <w:b/>
          <w:sz w:val="24"/>
          <w:u w:val="single"/>
        </w:rPr>
        <w:t>.</w:t>
      </w:r>
    </w:p>
    <w:p w:rsidR="002D0EBF" w:rsidRPr="002D0EBF" w:rsidRDefault="002D0EBF" w:rsidP="002D0EBF">
      <w:pPr>
        <w:pStyle w:val="ListParagraph"/>
        <w:rPr>
          <w:sz w:val="24"/>
        </w:rPr>
      </w:pPr>
    </w:p>
    <w:p w:rsidR="00A14F8E" w:rsidRDefault="00A14F8E" w:rsidP="00A14F8E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Reply to Query – I. General (Point No.2)</w:t>
      </w:r>
    </w:p>
    <w:p w:rsidR="002D0EBF" w:rsidRDefault="00731646" w:rsidP="009076C4">
      <w:pPr>
        <w:pStyle w:val="ListParagraph"/>
        <w:jc w:val="both"/>
        <w:rPr>
          <w:sz w:val="24"/>
        </w:rPr>
      </w:pPr>
      <w:r>
        <w:rPr>
          <w:sz w:val="24"/>
        </w:rPr>
        <w:t>It is to submit that the</w:t>
      </w:r>
      <w:r w:rsidR="00EB2E83">
        <w:rPr>
          <w:sz w:val="24"/>
        </w:rPr>
        <w:t xml:space="preserve">re is no separate set of accounts for </w:t>
      </w:r>
      <w:r>
        <w:rPr>
          <w:sz w:val="24"/>
        </w:rPr>
        <w:t xml:space="preserve">Distribution and Retail Supply Business </w:t>
      </w:r>
      <w:r w:rsidR="00EB2E83">
        <w:rPr>
          <w:sz w:val="24"/>
        </w:rPr>
        <w:t>as both the business are being handled by a single entity. However based on the assumptions considered in the ARR filings submitted by the licensee for Distribution and Retail supply businesses</w:t>
      </w:r>
      <w:r w:rsidR="0032470D">
        <w:rPr>
          <w:sz w:val="24"/>
        </w:rPr>
        <w:t>,</w:t>
      </w:r>
      <w:r w:rsidR="00EB2E83">
        <w:rPr>
          <w:sz w:val="24"/>
        </w:rPr>
        <w:t xml:space="preserve"> the following cost &amp; revenues </w:t>
      </w:r>
      <w:r w:rsidR="0032470D">
        <w:rPr>
          <w:sz w:val="24"/>
        </w:rPr>
        <w:t>as segregated is tabulated below</w:t>
      </w:r>
    </w:p>
    <w:tbl>
      <w:tblPr>
        <w:tblStyle w:val="TableGrid"/>
        <w:tblW w:w="0" w:type="auto"/>
        <w:tblInd w:w="1345" w:type="dxa"/>
        <w:tblLook w:val="04A0" w:firstRow="1" w:lastRow="0" w:firstColumn="1" w:lastColumn="0" w:noHBand="0" w:noVBand="1"/>
      </w:tblPr>
      <w:tblGrid>
        <w:gridCol w:w="2234"/>
        <w:gridCol w:w="2829"/>
        <w:gridCol w:w="2970"/>
      </w:tblGrid>
      <w:tr w:rsidR="00242CB2" w:rsidTr="005D0D68">
        <w:trPr>
          <w:tblHeader/>
        </w:trPr>
        <w:tc>
          <w:tcPr>
            <w:tcW w:w="2234" w:type="dxa"/>
            <w:shd w:val="clear" w:color="auto" w:fill="DDD9C3" w:themeFill="background2" w:themeFillShade="E6"/>
          </w:tcPr>
          <w:p w:rsidR="00242CB2" w:rsidRDefault="00242CB2" w:rsidP="002D0EBF">
            <w:pPr>
              <w:pStyle w:val="ListParagraph"/>
              <w:ind w:left="0"/>
              <w:rPr>
                <w:sz w:val="24"/>
              </w:rPr>
            </w:pPr>
            <w:r>
              <w:rPr>
                <w:sz w:val="24"/>
              </w:rPr>
              <w:t>Particulars</w:t>
            </w:r>
          </w:p>
        </w:tc>
        <w:tc>
          <w:tcPr>
            <w:tcW w:w="2829" w:type="dxa"/>
            <w:shd w:val="clear" w:color="auto" w:fill="DDD9C3" w:themeFill="background2" w:themeFillShade="E6"/>
          </w:tcPr>
          <w:p w:rsidR="00242CB2" w:rsidRDefault="00242CB2" w:rsidP="002D0EBF">
            <w:pPr>
              <w:pStyle w:val="ListParagraph"/>
              <w:ind w:left="0"/>
              <w:rPr>
                <w:sz w:val="24"/>
              </w:rPr>
            </w:pPr>
            <w:r>
              <w:rPr>
                <w:sz w:val="24"/>
              </w:rPr>
              <w:t>Business related</w:t>
            </w:r>
          </w:p>
        </w:tc>
        <w:tc>
          <w:tcPr>
            <w:tcW w:w="2970" w:type="dxa"/>
            <w:shd w:val="clear" w:color="auto" w:fill="DDD9C3" w:themeFill="background2" w:themeFillShade="E6"/>
          </w:tcPr>
          <w:p w:rsidR="00242CB2" w:rsidRDefault="00242CB2" w:rsidP="002D0EBF">
            <w:pPr>
              <w:pStyle w:val="ListParagraph"/>
              <w:ind w:left="0"/>
              <w:rPr>
                <w:sz w:val="24"/>
              </w:rPr>
            </w:pPr>
            <w:r>
              <w:rPr>
                <w:sz w:val="24"/>
              </w:rPr>
              <w:t>Remarks</w:t>
            </w:r>
          </w:p>
        </w:tc>
      </w:tr>
      <w:tr w:rsidR="00242CB2" w:rsidTr="00940446">
        <w:tc>
          <w:tcPr>
            <w:tcW w:w="2234" w:type="dxa"/>
          </w:tcPr>
          <w:p w:rsidR="00242CB2" w:rsidRPr="00792DC5" w:rsidRDefault="00242CB2" w:rsidP="002D0EBF">
            <w:pPr>
              <w:pStyle w:val="ListParagraph"/>
              <w:ind w:left="0"/>
            </w:pPr>
            <w:r w:rsidRPr="00792DC5">
              <w:t>Employee Cost</w:t>
            </w:r>
          </w:p>
        </w:tc>
        <w:tc>
          <w:tcPr>
            <w:tcW w:w="2829" w:type="dxa"/>
          </w:tcPr>
          <w:p w:rsidR="00242CB2" w:rsidRPr="00792DC5" w:rsidRDefault="00242CB2" w:rsidP="002D0EBF">
            <w:pPr>
              <w:pStyle w:val="ListParagraph"/>
              <w:ind w:left="0"/>
            </w:pPr>
            <w:r w:rsidRPr="00792DC5">
              <w:t>Distribution Business</w:t>
            </w:r>
          </w:p>
        </w:tc>
        <w:tc>
          <w:tcPr>
            <w:tcW w:w="2970" w:type="dxa"/>
          </w:tcPr>
          <w:p w:rsidR="00242CB2" w:rsidRPr="00792DC5" w:rsidRDefault="00242CB2" w:rsidP="00B63095">
            <w:pPr>
              <w:pStyle w:val="ListParagraph"/>
              <w:ind w:left="0"/>
              <w:jc w:val="both"/>
            </w:pPr>
            <w:r w:rsidRPr="00792DC5">
              <w:t xml:space="preserve">Completely considered under Distribution Business as segregation of employees </w:t>
            </w:r>
            <w:r w:rsidR="009958D3" w:rsidRPr="00792DC5">
              <w:t>cannot be done as most of the employees perform both distribution &amp; retail supply business related activities.</w:t>
            </w:r>
            <w:r w:rsidRPr="00792DC5">
              <w:t xml:space="preserve"> </w:t>
            </w:r>
          </w:p>
        </w:tc>
      </w:tr>
      <w:tr w:rsidR="009958D3" w:rsidTr="00940446">
        <w:tc>
          <w:tcPr>
            <w:tcW w:w="2234" w:type="dxa"/>
          </w:tcPr>
          <w:p w:rsidR="009958D3" w:rsidRPr="00792DC5" w:rsidRDefault="009958D3" w:rsidP="002D0EBF">
            <w:pPr>
              <w:pStyle w:val="ListParagraph"/>
              <w:ind w:left="0"/>
            </w:pPr>
            <w:r w:rsidRPr="00792DC5">
              <w:t>Administration &amp; General</w:t>
            </w:r>
          </w:p>
        </w:tc>
        <w:tc>
          <w:tcPr>
            <w:tcW w:w="2829" w:type="dxa"/>
          </w:tcPr>
          <w:p w:rsidR="009958D3" w:rsidRPr="00792DC5" w:rsidRDefault="009958D3" w:rsidP="00420D3D">
            <w:pPr>
              <w:pStyle w:val="ListParagraph"/>
              <w:ind w:left="0"/>
            </w:pPr>
            <w:r w:rsidRPr="00792DC5">
              <w:t>Distribution Business</w:t>
            </w:r>
          </w:p>
        </w:tc>
        <w:tc>
          <w:tcPr>
            <w:tcW w:w="2970" w:type="dxa"/>
          </w:tcPr>
          <w:p w:rsidR="009958D3" w:rsidRPr="00792DC5" w:rsidRDefault="001647C7" w:rsidP="00B63095">
            <w:pPr>
              <w:pStyle w:val="ListParagraph"/>
              <w:ind w:left="0"/>
              <w:jc w:val="both"/>
            </w:pPr>
            <w:r w:rsidRPr="00792DC5">
              <w:t xml:space="preserve">Completely considered under Distribution Business as it cannot be segregated </w:t>
            </w:r>
            <w:r w:rsidR="00B63095">
              <w:t>account wise.</w:t>
            </w:r>
          </w:p>
        </w:tc>
      </w:tr>
      <w:tr w:rsidR="009958D3" w:rsidTr="00940446">
        <w:tc>
          <w:tcPr>
            <w:tcW w:w="2234" w:type="dxa"/>
          </w:tcPr>
          <w:p w:rsidR="009958D3" w:rsidRPr="00792DC5" w:rsidRDefault="009958D3" w:rsidP="002D0EBF">
            <w:pPr>
              <w:pStyle w:val="ListParagraph"/>
              <w:ind w:left="0"/>
            </w:pPr>
            <w:r w:rsidRPr="00792DC5">
              <w:t>Repairs &amp; maintenance</w:t>
            </w:r>
          </w:p>
        </w:tc>
        <w:tc>
          <w:tcPr>
            <w:tcW w:w="2829" w:type="dxa"/>
          </w:tcPr>
          <w:p w:rsidR="009958D3" w:rsidRPr="00792DC5" w:rsidRDefault="009958D3" w:rsidP="00420D3D">
            <w:pPr>
              <w:pStyle w:val="ListParagraph"/>
              <w:ind w:left="0"/>
            </w:pPr>
            <w:r w:rsidRPr="00792DC5">
              <w:t>Distribution Business</w:t>
            </w:r>
          </w:p>
        </w:tc>
        <w:tc>
          <w:tcPr>
            <w:tcW w:w="2970" w:type="dxa"/>
          </w:tcPr>
          <w:p w:rsidR="009958D3" w:rsidRPr="00792DC5" w:rsidRDefault="001647C7" w:rsidP="00B63095">
            <w:pPr>
              <w:pStyle w:val="ListParagraph"/>
              <w:ind w:left="0"/>
              <w:jc w:val="both"/>
            </w:pPr>
            <w:r w:rsidRPr="00792DC5">
              <w:t xml:space="preserve">Completely considered under Distribution Business as it is </w:t>
            </w:r>
            <w:r w:rsidR="00792DC5" w:rsidRPr="00792DC5">
              <w:t xml:space="preserve">linked to Fixed assets which are </w:t>
            </w:r>
            <w:r w:rsidR="0082178F">
              <w:t xml:space="preserve">mainly </w:t>
            </w:r>
            <w:r w:rsidR="00792DC5" w:rsidRPr="00792DC5">
              <w:t>used for Distribution Business</w:t>
            </w:r>
            <w:r w:rsidR="00B63095">
              <w:t>.</w:t>
            </w:r>
          </w:p>
        </w:tc>
      </w:tr>
      <w:tr w:rsidR="00792DC5" w:rsidTr="00940446">
        <w:tc>
          <w:tcPr>
            <w:tcW w:w="2234" w:type="dxa"/>
          </w:tcPr>
          <w:p w:rsidR="00792DC5" w:rsidRPr="00792DC5" w:rsidRDefault="00792DC5" w:rsidP="002D0EBF">
            <w:pPr>
              <w:pStyle w:val="ListParagraph"/>
              <w:ind w:left="0"/>
            </w:pPr>
            <w:r w:rsidRPr="00792DC5">
              <w:t>Depreciation</w:t>
            </w:r>
          </w:p>
        </w:tc>
        <w:tc>
          <w:tcPr>
            <w:tcW w:w="2829" w:type="dxa"/>
          </w:tcPr>
          <w:p w:rsidR="00792DC5" w:rsidRPr="00792DC5" w:rsidRDefault="00792DC5" w:rsidP="00420D3D">
            <w:pPr>
              <w:pStyle w:val="ListParagraph"/>
              <w:ind w:left="0"/>
            </w:pPr>
            <w:r w:rsidRPr="00792DC5">
              <w:t>Distribution Business</w:t>
            </w:r>
          </w:p>
        </w:tc>
        <w:tc>
          <w:tcPr>
            <w:tcW w:w="2970" w:type="dxa"/>
          </w:tcPr>
          <w:p w:rsidR="00792DC5" w:rsidRPr="00792DC5" w:rsidRDefault="00792DC5" w:rsidP="00B63095">
            <w:pPr>
              <w:pStyle w:val="ListParagraph"/>
              <w:ind w:left="0"/>
              <w:jc w:val="both"/>
            </w:pPr>
            <w:r w:rsidRPr="00792DC5">
              <w:t xml:space="preserve">Completely considered under Distribution Business as it is linked to Fixed assets which are </w:t>
            </w:r>
            <w:r w:rsidR="00B63095">
              <w:t xml:space="preserve">mostly </w:t>
            </w:r>
            <w:r w:rsidRPr="00792DC5">
              <w:t>used for Distribution Business</w:t>
            </w:r>
          </w:p>
        </w:tc>
      </w:tr>
      <w:tr w:rsidR="00792DC5" w:rsidTr="00940446">
        <w:tc>
          <w:tcPr>
            <w:tcW w:w="2234" w:type="dxa"/>
          </w:tcPr>
          <w:p w:rsidR="00792DC5" w:rsidRPr="00792DC5" w:rsidRDefault="00792DC5" w:rsidP="002D0EBF">
            <w:pPr>
              <w:pStyle w:val="ListParagraph"/>
              <w:ind w:left="0"/>
            </w:pPr>
            <w:r>
              <w:t>Return on capital employed</w:t>
            </w:r>
          </w:p>
        </w:tc>
        <w:tc>
          <w:tcPr>
            <w:tcW w:w="2829" w:type="dxa"/>
          </w:tcPr>
          <w:p w:rsidR="00792DC5" w:rsidRPr="00792DC5" w:rsidRDefault="00792DC5" w:rsidP="00420D3D">
            <w:pPr>
              <w:pStyle w:val="ListParagraph"/>
              <w:ind w:left="0"/>
            </w:pPr>
            <w:r w:rsidRPr="00792DC5">
              <w:t>Distribution Business</w:t>
            </w:r>
          </w:p>
        </w:tc>
        <w:tc>
          <w:tcPr>
            <w:tcW w:w="2970" w:type="dxa"/>
          </w:tcPr>
          <w:p w:rsidR="00792DC5" w:rsidRPr="00792DC5" w:rsidRDefault="00792DC5" w:rsidP="00B63095">
            <w:pPr>
              <w:pStyle w:val="ListParagraph"/>
              <w:ind w:left="0"/>
              <w:jc w:val="both"/>
            </w:pPr>
            <w:r w:rsidRPr="00792DC5">
              <w:t>Completely considered under Distribution Business as it is linked to Fixed assets</w:t>
            </w:r>
            <w:r>
              <w:t xml:space="preserve"> &amp; capital employed to acquire those assets</w:t>
            </w:r>
            <w:r w:rsidR="000D05F1">
              <w:t xml:space="preserve"> including working capital </w:t>
            </w:r>
            <w:r w:rsidRPr="00792DC5">
              <w:t>which are</w:t>
            </w:r>
            <w:r w:rsidR="00E735BF">
              <w:t xml:space="preserve"> mainly</w:t>
            </w:r>
            <w:r w:rsidRPr="00792DC5">
              <w:t xml:space="preserve"> used for Distribution Business</w:t>
            </w:r>
          </w:p>
        </w:tc>
      </w:tr>
      <w:tr w:rsidR="00792DC5" w:rsidTr="00940446">
        <w:tc>
          <w:tcPr>
            <w:tcW w:w="2234" w:type="dxa"/>
          </w:tcPr>
          <w:p w:rsidR="00792DC5" w:rsidRPr="00792DC5" w:rsidRDefault="00792DC5" w:rsidP="00420D3D">
            <w:pPr>
              <w:pStyle w:val="ListParagraph"/>
              <w:ind w:left="0"/>
            </w:pPr>
            <w:r>
              <w:t>Power Purchase cost</w:t>
            </w:r>
          </w:p>
        </w:tc>
        <w:tc>
          <w:tcPr>
            <w:tcW w:w="2829" w:type="dxa"/>
          </w:tcPr>
          <w:p w:rsidR="00792DC5" w:rsidRPr="00792DC5" w:rsidRDefault="00792DC5" w:rsidP="00420D3D">
            <w:pPr>
              <w:pStyle w:val="ListParagraph"/>
              <w:ind w:left="0"/>
            </w:pPr>
            <w:r>
              <w:t>Retail Supply Business</w:t>
            </w:r>
          </w:p>
        </w:tc>
        <w:tc>
          <w:tcPr>
            <w:tcW w:w="2970" w:type="dxa"/>
          </w:tcPr>
          <w:p w:rsidR="00792DC5" w:rsidRPr="00792DC5" w:rsidRDefault="00801C77" w:rsidP="00B63095">
            <w:pPr>
              <w:pStyle w:val="ListParagraph"/>
              <w:ind w:left="0"/>
              <w:jc w:val="both"/>
            </w:pPr>
            <w:r w:rsidRPr="00792DC5">
              <w:t xml:space="preserve">Completely considered under </w:t>
            </w:r>
            <w:r>
              <w:t>Retail Supply</w:t>
            </w:r>
            <w:r w:rsidRPr="00792DC5">
              <w:t xml:space="preserve"> Business</w:t>
            </w:r>
            <w:r>
              <w:t xml:space="preserve"> as it is related business activity</w:t>
            </w:r>
          </w:p>
        </w:tc>
      </w:tr>
      <w:tr w:rsidR="008C2F33" w:rsidTr="00940446">
        <w:tc>
          <w:tcPr>
            <w:tcW w:w="2234" w:type="dxa"/>
          </w:tcPr>
          <w:p w:rsidR="008C2F33" w:rsidRDefault="008C2F33" w:rsidP="00420D3D">
            <w:pPr>
              <w:pStyle w:val="ListParagraph"/>
              <w:ind w:left="0"/>
            </w:pPr>
            <w:r>
              <w:lastRenderedPageBreak/>
              <w:t>Network Costs (Interstate-Transmission, Intrastate-Transmission, SLDC)</w:t>
            </w:r>
          </w:p>
        </w:tc>
        <w:tc>
          <w:tcPr>
            <w:tcW w:w="2829" w:type="dxa"/>
          </w:tcPr>
          <w:p w:rsidR="008C2F33" w:rsidRPr="00792DC5" w:rsidRDefault="008C2F33" w:rsidP="00420D3D">
            <w:pPr>
              <w:pStyle w:val="ListParagraph"/>
              <w:ind w:left="0"/>
            </w:pPr>
            <w:r>
              <w:t>Retail Supply Business</w:t>
            </w:r>
          </w:p>
        </w:tc>
        <w:tc>
          <w:tcPr>
            <w:tcW w:w="2970" w:type="dxa"/>
          </w:tcPr>
          <w:p w:rsidR="008C2F33" w:rsidRPr="00792DC5" w:rsidRDefault="00801C77" w:rsidP="00B63095">
            <w:pPr>
              <w:pStyle w:val="ListParagraph"/>
              <w:ind w:left="0"/>
              <w:jc w:val="both"/>
            </w:pPr>
            <w:r w:rsidRPr="00792DC5">
              <w:t xml:space="preserve">Completely considered under </w:t>
            </w:r>
            <w:r>
              <w:t>Retail Supply</w:t>
            </w:r>
            <w:r w:rsidRPr="00792DC5">
              <w:t xml:space="preserve"> Business</w:t>
            </w:r>
            <w:r>
              <w:t xml:space="preserve"> as it is related business activity</w:t>
            </w:r>
          </w:p>
        </w:tc>
      </w:tr>
      <w:tr w:rsidR="008C2F33" w:rsidTr="00940446">
        <w:tc>
          <w:tcPr>
            <w:tcW w:w="2234" w:type="dxa"/>
          </w:tcPr>
          <w:p w:rsidR="008C2F33" w:rsidRDefault="008C2F33" w:rsidP="00420D3D">
            <w:pPr>
              <w:pStyle w:val="ListParagraph"/>
              <w:ind w:left="0"/>
            </w:pPr>
            <w:r>
              <w:t>Interest on CSD</w:t>
            </w:r>
          </w:p>
        </w:tc>
        <w:tc>
          <w:tcPr>
            <w:tcW w:w="2829" w:type="dxa"/>
          </w:tcPr>
          <w:p w:rsidR="008C2F33" w:rsidRDefault="008C2F33" w:rsidP="00420D3D">
            <w:pPr>
              <w:pStyle w:val="ListParagraph"/>
              <w:ind w:left="0"/>
            </w:pPr>
            <w:r>
              <w:t xml:space="preserve">Retail supply Business </w:t>
            </w:r>
          </w:p>
        </w:tc>
        <w:tc>
          <w:tcPr>
            <w:tcW w:w="2970" w:type="dxa"/>
          </w:tcPr>
          <w:p w:rsidR="008C2F33" w:rsidRPr="00792DC5" w:rsidRDefault="008C2F33" w:rsidP="00B63095">
            <w:pPr>
              <w:pStyle w:val="ListParagraph"/>
              <w:ind w:left="0"/>
              <w:jc w:val="both"/>
            </w:pPr>
            <w:r w:rsidRPr="00792DC5">
              <w:t xml:space="preserve">Completely considered under </w:t>
            </w:r>
            <w:r>
              <w:t>Retail Supply</w:t>
            </w:r>
            <w:r w:rsidRPr="00792DC5">
              <w:t xml:space="preserve"> Business</w:t>
            </w:r>
            <w:r w:rsidR="004960F1">
              <w:t xml:space="preserve"> as it is </w:t>
            </w:r>
            <w:r w:rsidR="00801C77">
              <w:t xml:space="preserve">related </w:t>
            </w:r>
            <w:r w:rsidR="004960F1">
              <w:t>business activity</w:t>
            </w:r>
          </w:p>
        </w:tc>
      </w:tr>
      <w:tr w:rsidR="008C2F33" w:rsidTr="00940446">
        <w:tc>
          <w:tcPr>
            <w:tcW w:w="2234" w:type="dxa"/>
          </w:tcPr>
          <w:p w:rsidR="008C2F33" w:rsidRDefault="008C2F33" w:rsidP="00420D3D">
            <w:pPr>
              <w:pStyle w:val="ListParagraph"/>
              <w:ind w:left="0"/>
            </w:pPr>
            <w:r>
              <w:t>Supply Margin</w:t>
            </w:r>
          </w:p>
        </w:tc>
        <w:tc>
          <w:tcPr>
            <w:tcW w:w="2829" w:type="dxa"/>
          </w:tcPr>
          <w:p w:rsidR="008C2F33" w:rsidRDefault="008C2F33" w:rsidP="00420D3D">
            <w:pPr>
              <w:pStyle w:val="ListParagraph"/>
              <w:ind w:left="0"/>
            </w:pPr>
            <w:r>
              <w:t xml:space="preserve">Retail supply Business </w:t>
            </w:r>
          </w:p>
        </w:tc>
        <w:tc>
          <w:tcPr>
            <w:tcW w:w="2970" w:type="dxa"/>
          </w:tcPr>
          <w:p w:rsidR="008C2F33" w:rsidRPr="00792DC5" w:rsidRDefault="008C2F33" w:rsidP="00B63095">
            <w:pPr>
              <w:pStyle w:val="ListParagraph"/>
              <w:ind w:left="0"/>
              <w:jc w:val="both"/>
            </w:pPr>
            <w:r w:rsidRPr="00792DC5">
              <w:t xml:space="preserve">Completely considered under </w:t>
            </w:r>
            <w:r>
              <w:t>Retail Supply</w:t>
            </w:r>
            <w:r w:rsidRPr="00792DC5">
              <w:t xml:space="preserve"> Business</w:t>
            </w:r>
            <w:r>
              <w:t xml:space="preserve"> as allowed by the Honble Commission</w:t>
            </w:r>
          </w:p>
        </w:tc>
      </w:tr>
      <w:tr w:rsidR="00F540DB" w:rsidTr="00940446">
        <w:tc>
          <w:tcPr>
            <w:tcW w:w="2234" w:type="dxa"/>
          </w:tcPr>
          <w:p w:rsidR="00F540DB" w:rsidRDefault="00F540DB" w:rsidP="00420D3D">
            <w:pPr>
              <w:pStyle w:val="ListParagraph"/>
              <w:ind w:left="0"/>
            </w:pPr>
            <w:r>
              <w:t>Revenue from sale of Power</w:t>
            </w:r>
            <w:r w:rsidR="00801C77">
              <w:t xml:space="preserve"> including Government Subsidy</w:t>
            </w:r>
          </w:p>
        </w:tc>
        <w:tc>
          <w:tcPr>
            <w:tcW w:w="2829" w:type="dxa"/>
          </w:tcPr>
          <w:p w:rsidR="00F540DB" w:rsidRDefault="00F540DB" w:rsidP="00420D3D">
            <w:pPr>
              <w:pStyle w:val="ListParagraph"/>
              <w:ind w:left="0"/>
            </w:pPr>
            <w:r>
              <w:t xml:space="preserve">Retail supply Business </w:t>
            </w:r>
          </w:p>
        </w:tc>
        <w:tc>
          <w:tcPr>
            <w:tcW w:w="2970" w:type="dxa"/>
          </w:tcPr>
          <w:p w:rsidR="00F540DB" w:rsidRPr="00792DC5" w:rsidRDefault="00801C77" w:rsidP="00B63095">
            <w:pPr>
              <w:pStyle w:val="ListParagraph"/>
              <w:ind w:left="0"/>
              <w:jc w:val="both"/>
            </w:pPr>
            <w:r w:rsidRPr="00792DC5">
              <w:t xml:space="preserve">Completely considered under </w:t>
            </w:r>
            <w:r>
              <w:t>Retail Supply</w:t>
            </w:r>
            <w:r w:rsidRPr="00792DC5">
              <w:t xml:space="preserve"> Business</w:t>
            </w:r>
            <w:r>
              <w:t xml:space="preserve"> as it is related business activity</w:t>
            </w:r>
          </w:p>
        </w:tc>
      </w:tr>
      <w:tr w:rsidR="00064D1F" w:rsidTr="00940446">
        <w:tc>
          <w:tcPr>
            <w:tcW w:w="2234" w:type="dxa"/>
          </w:tcPr>
          <w:p w:rsidR="00064D1F" w:rsidRDefault="00064D1F" w:rsidP="00420D3D">
            <w:pPr>
              <w:pStyle w:val="ListParagraph"/>
              <w:ind w:left="0"/>
            </w:pPr>
            <w:r>
              <w:t>Cross Subsidy Surcharge, Additional Surcharge</w:t>
            </w:r>
          </w:p>
        </w:tc>
        <w:tc>
          <w:tcPr>
            <w:tcW w:w="2829" w:type="dxa"/>
          </w:tcPr>
          <w:p w:rsidR="00064D1F" w:rsidRDefault="00064D1F" w:rsidP="00420D3D">
            <w:pPr>
              <w:pStyle w:val="ListParagraph"/>
              <w:ind w:left="0"/>
            </w:pPr>
            <w:r>
              <w:t xml:space="preserve">Retail supply Business </w:t>
            </w:r>
          </w:p>
        </w:tc>
        <w:tc>
          <w:tcPr>
            <w:tcW w:w="2970" w:type="dxa"/>
          </w:tcPr>
          <w:p w:rsidR="00064D1F" w:rsidRPr="00792DC5" w:rsidRDefault="00801C77" w:rsidP="00B63095">
            <w:pPr>
              <w:pStyle w:val="ListParagraph"/>
              <w:ind w:left="0"/>
              <w:jc w:val="both"/>
            </w:pPr>
            <w:r w:rsidRPr="00792DC5">
              <w:t xml:space="preserve">Completely considered under </w:t>
            </w:r>
            <w:r>
              <w:t>Retail Supply</w:t>
            </w:r>
            <w:r w:rsidRPr="00792DC5">
              <w:t xml:space="preserve"> Business</w:t>
            </w:r>
            <w:r>
              <w:t xml:space="preserve"> as it is related business activity</w:t>
            </w:r>
          </w:p>
        </w:tc>
      </w:tr>
      <w:tr w:rsidR="00064D1F" w:rsidTr="00940446">
        <w:tc>
          <w:tcPr>
            <w:tcW w:w="2234" w:type="dxa"/>
          </w:tcPr>
          <w:p w:rsidR="00064D1F" w:rsidRDefault="00064D1F" w:rsidP="00420D3D">
            <w:pPr>
              <w:pStyle w:val="ListParagraph"/>
              <w:ind w:left="0"/>
            </w:pPr>
            <w:r>
              <w:t>Wheeling Revenue</w:t>
            </w:r>
          </w:p>
        </w:tc>
        <w:tc>
          <w:tcPr>
            <w:tcW w:w="2829" w:type="dxa"/>
          </w:tcPr>
          <w:p w:rsidR="00064D1F" w:rsidRDefault="00064D1F" w:rsidP="00420D3D">
            <w:pPr>
              <w:pStyle w:val="ListParagraph"/>
              <w:ind w:left="0"/>
            </w:pPr>
            <w:r w:rsidRPr="00792DC5">
              <w:t>Distribution Business</w:t>
            </w:r>
          </w:p>
        </w:tc>
        <w:tc>
          <w:tcPr>
            <w:tcW w:w="2970" w:type="dxa"/>
          </w:tcPr>
          <w:p w:rsidR="00064D1F" w:rsidRPr="00792DC5" w:rsidRDefault="00064D1F" w:rsidP="00B63095">
            <w:pPr>
              <w:pStyle w:val="ListParagraph"/>
              <w:ind w:left="0"/>
              <w:jc w:val="both"/>
            </w:pPr>
            <w:r w:rsidRPr="00792DC5">
              <w:t xml:space="preserve">Completely considered under </w:t>
            </w:r>
            <w:r>
              <w:t>Distribution</w:t>
            </w:r>
            <w:r w:rsidRPr="00792DC5">
              <w:t xml:space="preserve"> Business</w:t>
            </w:r>
            <w:r w:rsidR="004960F1">
              <w:t xml:space="preserve"> as it is </w:t>
            </w:r>
            <w:r w:rsidR="00801C77">
              <w:t>related</w:t>
            </w:r>
            <w:r w:rsidR="004960F1">
              <w:t xml:space="preserve"> business activity</w:t>
            </w:r>
          </w:p>
        </w:tc>
      </w:tr>
      <w:tr w:rsidR="0064380C" w:rsidTr="00940446">
        <w:tc>
          <w:tcPr>
            <w:tcW w:w="2234" w:type="dxa"/>
          </w:tcPr>
          <w:p w:rsidR="0064380C" w:rsidRDefault="0064380C" w:rsidP="00420D3D">
            <w:pPr>
              <w:pStyle w:val="ListParagraph"/>
              <w:ind w:left="0"/>
            </w:pPr>
            <w:r>
              <w:t>Non-Tariff Income</w:t>
            </w:r>
          </w:p>
        </w:tc>
        <w:tc>
          <w:tcPr>
            <w:tcW w:w="2829" w:type="dxa"/>
          </w:tcPr>
          <w:p w:rsidR="0064380C" w:rsidRPr="00792DC5" w:rsidRDefault="0064380C" w:rsidP="00420D3D">
            <w:pPr>
              <w:pStyle w:val="ListParagraph"/>
              <w:ind w:left="0"/>
            </w:pPr>
            <w:r>
              <w:t>Partly Distribution</w:t>
            </w:r>
            <w:r w:rsidR="00C44EDF">
              <w:t xml:space="preserve"> Business</w:t>
            </w:r>
            <w:r>
              <w:t xml:space="preserve"> &amp; Partly Retail </w:t>
            </w:r>
            <w:r w:rsidR="00C44EDF">
              <w:t>Supply Business</w:t>
            </w:r>
          </w:p>
        </w:tc>
        <w:tc>
          <w:tcPr>
            <w:tcW w:w="2970" w:type="dxa"/>
          </w:tcPr>
          <w:p w:rsidR="0064380C" w:rsidRPr="00792DC5" w:rsidRDefault="0064380C" w:rsidP="00B63095">
            <w:pPr>
              <w:pStyle w:val="ListParagraph"/>
              <w:ind w:left="0"/>
              <w:jc w:val="both"/>
            </w:pPr>
            <w:r>
              <w:t xml:space="preserve">Segregation </w:t>
            </w:r>
            <w:r w:rsidR="00D547C7">
              <w:t xml:space="preserve">of income done </w:t>
            </w:r>
            <w:r>
              <w:t xml:space="preserve">to the extent of </w:t>
            </w:r>
            <w:r w:rsidR="003D7120">
              <w:t xml:space="preserve">nature of </w:t>
            </w:r>
            <w:bookmarkStart w:id="0" w:name="_GoBack"/>
            <w:bookmarkEnd w:id="0"/>
            <w:r w:rsidR="00D547C7">
              <w:t>activity it relates to.</w:t>
            </w:r>
          </w:p>
        </w:tc>
      </w:tr>
    </w:tbl>
    <w:p w:rsidR="0032470D" w:rsidRDefault="00801C77" w:rsidP="002D0EBF">
      <w:pPr>
        <w:pStyle w:val="ListParagraph"/>
        <w:rPr>
          <w:sz w:val="24"/>
        </w:rPr>
      </w:pPr>
      <w:r>
        <w:rPr>
          <w:sz w:val="24"/>
        </w:rPr>
        <w:t xml:space="preserve">Based on the above assumptions the allocation statement for FY 2014-15, FY 2015-16, FY 2016-17, FY 2017-18 and FY 2018-19 is </w:t>
      </w:r>
      <w:r w:rsidR="007931C4">
        <w:rPr>
          <w:sz w:val="24"/>
        </w:rPr>
        <w:t>tabulated below</w:t>
      </w:r>
    </w:p>
    <w:p w:rsidR="00D96A77" w:rsidRDefault="001A73FB" w:rsidP="004C4D06">
      <w:pPr>
        <w:pStyle w:val="ListParagraph"/>
        <w:ind w:left="180"/>
        <w:rPr>
          <w:b/>
          <w:sz w:val="24"/>
        </w:rPr>
      </w:pPr>
      <w:r w:rsidRPr="001A73FB">
        <w:drawing>
          <wp:inline distT="0" distB="0" distL="0" distR="0" wp14:anchorId="41B7FF5A" wp14:editId="4ACC0406">
            <wp:extent cx="5943600" cy="3014018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14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316" w:rsidRDefault="001A3316" w:rsidP="002D0EBF">
      <w:pPr>
        <w:pStyle w:val="ListParagraph"/>
        <w:rPr>
          <w:b/>
          <w:sz w:val="24"/>
        </w:rPr>
      </w:pPr>
    </w:p>
    <w:p w:rsidR="008F308F" w:rsidRDefault="008F308F" w:rsidP="008F308F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lastRenderedPageBreak/>
        <w:t>Reply to Query – II. True up for 3</w:t>
      </w:r>
      <w:r w:rsidRPr="008F308F">
        <w:rPr>
          <w:b/>
          <w:sz w:val="24"/>
          <w:vertAlign w:val="superscript"/>
        </w:rPr>
        <w:t>rd</w:t>
      </w:r>
      <w:r>
        <w:rPr>
          <w:b/>
          <w:sz w:val="24"/>
        </w:rPr>
        <w:t xml:space="preserve"> MYT Control Period from FY 2014-15 to FY 2018-19 (Point No.3)</w:t>
      </w:r>
    </w:p>
    <w:p w:rsidR="00A340D1" w:rsidRPr="00A340D1" w:rsidRDefault="00A340D1" w:rsidP="00A340D1">
      <w:pPr>
        <w:pStyle w:val="ListParagraph"/>
        <w:rPr>
          <w:b/>
          <w:sz w:val="24"/>
        </w:rPr>
      </w:pPr>
      <w:r w:rsidRPr="002D0EBF">
        <w:rPr>
          <w:b/>
          <w:sz w:val="24"/>
        </w:rPr>
        <w:t>Reply:</w:t>
      </w:r>
      <w:r>
        <w:rPr>
          <w:b/>
          <w:sz w:val="24"/>
        </w:rPr>
        <w:t xml:space="preserve"> </w:t>
      </w:r>
      <w:r w:rsidRPr="00A340D1">
        <w:rPr>
          <w:sz w:val="24"/>
        </w:rPr>
        <w:t>The True-up for Distribution Business for 3</w:t>
      </w:r>
      <w:r w:rsidRPr="00A340D1">
        <w:rPr>
          <w:sz w:val="24"/>
          <w:vertAlign w:val="superscript"/>
        </w:rPr>
        <w:t>rd</w:t>
      </w:r>
      <w:r w:rsidRPr="00A340D1">
        <w:rPr>
          <w:sz w:val="24"/>
        </w:rPr>
        <w:t xml:space="preserve"> MYT Control Period for FY 2014-15 to FY 2018-19  in accordance to</w:t>
      </w:r>
      <w:r w:rsidRPr="00A340D1">
        <w:rPr>
          <w:b/>
          <w:sz w:val="24"/>
        </w:rPr>
        <w:t xml:space="preserve">  </w:t>
      </w:r>
      <w:r w:rsidRPr="00A340D1">
        <w:rPr>
          <w:sz w:val="24"/>
        </w:rPr>
        <w:t>Regulation</w:t>
      </w:r>
      <w:r>
        <w:rPr>
          <w:b/>
          <w:sz w:val="24"/>
        </w:rPr>
        <w:t xml:space="preserve"> </w:t>
      </w:r>
      <w:r w:rsidRPr="00A340D1">
        <w:rPr>
          <w:sz w:val="24"/>
        </w:rPr>
        <w:t>is</w:t>
      </w:r>
      <w:r>
        <w:rPr>
          <w:sz w:val="24"/>
        </w:rPr>
        <w:t xml:space="preserve"> enclosed as </w:t>
      </w:r>
      <w:r w:rsidRPr="00A340D1">
        <w:rPr>
          <w:b/>
          <w:sz w:val="24"/>
          <w:u w:val="single"/>
        </w:rPr>
        <w:t>Annexure -I</w:t>
      </w:r>
    </w:p>
    <w:p w:rsidR="00BC4B15" w:rsidRDefault="00BC4B15" w:rsidP="00BC4B15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Reply to Query – IV. MYT for 4</w:t>
      </w:r>
      <w:r w:rsidRPr="00BC4B15">
        <w:rPr>
          <w:b/>
          <w:sz w:val="24"/>
          <w:vertAlign w:val="superscript"/>
        </w:rPr>
        <w:t>th</w:t>
      </w:r>
      <w:r>
        <w:rPr>
          <w:b/>
          <w:sz w:val="24"/>
        </w:rPr>
        <w:t xml:space="preserve">  MYT Control Period from FY 2019-20 to FY 2023-24 (Point No.</w:t>
      </w:r>
      <w:r w:rsidR="00705FEC">
        <w:rPr>
          <w:b/>
          <w:sz w:val="24"/>
        </w:rPr>
        <w:t>5</w:t>
      </w:r>
      <w:r>
        <w:rPr>
          <w:b/>
          <w:sz w:val="24"/>
        </w:rPr>
        <w:t>)</w:t>
      </w:r>
    </w:p>
    <w:p w:rsidR="00705FEC" w:rsidRDefault="00D97000" w:rsidP="00705FEC">
      <w:pPr>
        <w:pStyle w:val="ListParagraph"/>
        <w:rPr>
          <w:b/>
          <w:sz w:val="24"/>
          <w:u w:val="single"/>
        </w:rPr>
      </w:pPr>
      <w:r>
        <w:rPr>
          <w:sz w:val="24"/>
        </w:rPr>
        <w:t xml:space="preserve">The excel computation of escalation rate of 5.42% along with relevant documents are enclosed as </w:t>
      </w:r>
      <w:r w:rsidRPr="00D97000">
        <w:rPr>
          <w:b/>
          <w:sz w:val="24"/>
          <w:u w:val="single"/>
        </w:rPr>
        <w:t>Anne</w:t>
      </w:r>
      <w:r>
        <w:rPr>
          <w:b/>
          <w:sz w:val="24"/>
          <w:u w:val="single"/>
        </w:rPr>
        <w:t>x</w:t>
      </w:r>
      <w:r w:rsidRPr="00D97000">
        <w:rPr>
          <w:b/>
          <w:sz w:val="24"/>
          <w:u w:val="single"/>
        </w:rPr>
        <w:t>ure-II</w:t>
      </w:r>
      <w:r>
        <w:rPr>
          <w:b/>
          <w:sz w:val="24"/>
          <w:u w:val="single"/>
        </w:rPr>
        <w:t>.</w:t>
      </w:r>
    </w:p>
    <w:p w:rsidR="008A3FB9" w:rsidRDefault="00705FEC" w:rsidP="00705FEC">
      <w:pPr>
        <w:pStyle w:val="ListParagraph"/>
        <w:numPr>
          <w:ilvl w:val="0"/>
          <w:numId w:val="1"/>
        </w:numPr>
        <w:rPr>
          <w:b/>
          <w:sz w:val="24"/>
        </w:rPr>
      </w:pPr>
      <w:r w:rsidRPr="00705FEC">
        <w:rPr>
          <w:b/>
          <w:sz w:val="24"/>
        </w:rPr>
        <w:t>Reply to Query – IV. MYT for 4</w:t>
      </w:r>
      <w:r w:rsidRPr="00705FEC">
        <w:rPr>
          <w:b/>
          <w:sz w:val="24"/>
          <w:vertAlign w:val="superscript"/>
        </w:rPr>
        <w:t>th</w:t>
      </w:r>
      <w:r w:rsidRPr="00705FEC">
        <w:rPr>
          <w:b/>
          <w:sz w:val="24"/>
        </w:rPr>
        <w:t xml:space="preserve">  MYT Control Period from FY 2019-20 to FY 2023-24 (Point No.</w:t>
      </w:r>
      <w:r w:rsidR="00566A56">
        <w:rPr>
          <w:b/>
          <w:sz w:val="24"/>
        </w:rPr>
        <w:t>6</w:t>
      </w:r>
      <w:r w:rsidRPr="00705FEC">
        <w:rPr>
          <w:b/>
          <w:sz w:val="24"/>
        </w:rPr>
        <w:t>)</w:t>
      </w:r>
    </w:p>
    <w:p w:rsidR="00C60436" w:rsidRPr="00705FEC" w:rsidRDefault="00C60436" w:rsidP="008A3FB9">
      <w:pPr>
        <w:pStyle w:val="ListParagraph"/>
        <w:rPr>
          <w:b/>
          <w:sz w:val="24"/>
        </w:rPr>
      </w:pPr>
      <w:r w:rsidRPr="00705FEC">
        <w:rPr>
          <w:sz w:val="24"/>
        </w:rPr>
        <w:t>The computation of norm of 1.13% for R&amp;M expenses is tabulated below</w:t>
      </w:r>
    </w:p>
    <w:tbl>
      <w:tblPr>
        <w:tblW w:w="8240" w:type="dxa"/>
        <w:tblInd w:w="1545" w:type="dxa"/>
        <w:tblLook w:val="04A0" w:firstRow="1" w:lastRow="0" w:firstColumn="1" w:lastColumn="0" w:noHBand="0" w:noVBand="1"/>
      </w:tblPr>
      <w:tblGrid>
        <w:gridCol w:w="2480"/>
        <w:gridCol w:w="960"/>
        <w:gridCol w:w="960"/>
        <w:gridCol w:w="960"/>
        <w:gridCol w:w="960"/>
        <w:gridCol w:w="960"/>
        <w:gridCol w:w="960"/>
      </w:tblGrid>
      <w:tr w:rsidR="009566A0" w:rsidRPr="009566A0" w:rsidTr="00EB3059">
        <w:trPr>
          <w:trHeight w:val="30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C60436" w:rsidRPr="00C60436" w:rsidRDefault="00C60436" w:rsidP="00C60436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C60436">
              <w:rPr>
                <w:rFonts w:ascii="Calibri" w:eastAsia="Times New Roman" w:hAnsi="Calibri" w:cs="Times New Roman"/>
                <w:b/>
              </w:rPr>
              <w:t>Item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C60436" w:rsidRPr="00C60436" w:rsidRDefault="00C60436" w:rsidP="00C60436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C60436">
              <w:rPr>
                <w:rFonts w:ascii="Calibri" w:eastAsia="Times New Roman" w:hAnsi="Calibri" w:cs="Times New Roman"/>
                <w:b/>
              </w:rPr>
              <w:t>Unit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C60436" w:rsidRPr="00C60436" w:rsidRDefault="00C60436" w:rsidP="00C60436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C60436">
              <w:rPr>
                <w:rFonts w:ascii="Calibri" w:eastAsia="Times New Roman" w:hAnsi="Calibri" w:cs="Times New Roman"/>
                <w:b/>
              </w:rPr>
              <w:t>2014-15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C60436" w:rsidRPr="00C60436" w:rsidRDefault="00C60436" w:rsidP="00C60436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C60436">
              <w:rPr>
                <w:rFonts w:ascii="Calibri" w:eastAsia="Times New Roman" w:hAnsi="Calibri" w:cs="Times New Roman"/>
                <w:b/>
              </w:rPr>
              <w:t>2015-16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C60436" w:rsidRPr="00C60436" w:rsidRDefault="00C60436" w:rsidP="00C60436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C60436">
              <w:rPr>
                <w:rFonts w:ascii="Calibri" w:eastAsia="Times New Roman" w:hAnsi="Calibri" w:cs="Times New Roman"/>
                <w:b/>
              </w:rPr>
              <w:t>2016-17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C60436" w:rsidRPr="00C60436" w:rsidRDefault="00C60436" w:rsidP="00C60436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C60436">
              <w:rPr>
                <w:rFonts w:ascii="Calibri" w:eastAsia="Times New Roman" w:hAnsi="Calibri" w:cs="Times New Roman"/>
                <w:b/>
              </w:rPr>
              <w:t>2017-18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C60436" w:rsidRPr="00C60436" w:rsidRDefault="00C60436" w:rsidP="00C60436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C60436">
              <w:rPr>
                <w:rFonts w:ascii="Calibri" w:eastAsia="Times New Roman" w:hAnsi="Calibri" w:cs="Times New Roman"/>
                <w:b/>
              </w:rPr>
              <w:t>2018-19</w:t>
            </w:r>
          </w:p>
        </w:tc>
      </w:tr>
      <w:tr w:rsidR="00C60436" w:rsidRPr="00C60436" w:rsidTr="00C60436">
        <w:trPr>
          <w:trHeight w:val="3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436" w:rsidRPr="00C60436" w:rsidRDefault="006F2751" w:rsidP="00C604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Opening </w:t>
            </w:r>
            <w:r w:rsidR="00C60436" w:rsidRPr="00C60436">
              <w:rPr>
                <w:rFonts w:ascii="Calibri" w:eastAsia="Times New Roman" w:hAnsi="Calibri" w:cs="Times New Roman"/>
                <w:color w:val="000000"/>
              </w:rPr>
              <w:t>GFA - Actuals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436" w:rsidRPr="00C60436" w:rsidRDefault="00C60436" w:rsidP="00C604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60436">
              <w:rPr>
                <w:rFonts w:ascii="Calibri" w:eastAsia="Times New Roman" w:hAnsi="Calibri" w:cs="Times New Roman"/>
                <w:color w:val="000000"/>
              </w:rPr>
              <w:t>Rs.Cr.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436" w:rsidRPr="00C60436" w:rsidRDefault="00C60436" w:rsidP="00E579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60436">
              <w:rPr>
                <w:rFonts w:ascii="Calibri" w:eastAsia="Times New Roman" w:hAnsi="Calibri" w:cs="Times New Roman"/>
                <w:color w:val="000000"/>
              </w:rPr>
              <w:t xml:space="preserve">        6,763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436" w:rsidRPr="00C60436" w:rsidRDefault="00C60436" w:rsidP="00E579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60436">
              <w:rPr>
                <w:rFonts w:ascii="Calibri" w:eastAsia="Times New Roman" w:hAnsi="Calibri" w:cs="Times New Roman"/>
                <w:color w:val="000000"/>
              </w:rPr>
              <w:t xml:space="preserve">        7,806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436" w:rsidRPr="00C60436" w:rsidRDefault="00C60436" w:rsidP="00E579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60436">
              <w:rPr>
                <w:rFonts w:ascii="Calibri" w:eastAsia="Times New Roman" w:hAnsi="Calibri" w:cs="Times New Roman"/>
                <w:color w:val="000000"/>
              </w:rPr>
              <w:t xml:space="preserve">        9,716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436" w:rsidRPr="00C60436" w:rsidRDefault="00C60436" w:rsidP="00E579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60436">
              <w:rPr>
                <w:rFonts w:ascii="Calibri" w:eastAsia="Times New Roman" w:hAnsi="Calibri" w:cs="Times New Roman"/>
                <w:color w:val="000000"/>
              </w:rPr>
              <w:t xml:space="preserve">     11,265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436" w:rsidRPr="00C60436" w:rsidRDefault="00C60436" w:rsidP="00E579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60436">
              <w:rPr>
                <w:rFonts w:ascii="Calibri" w:eastAsia="Times New Roman" w:hAnsi="Calibri" w:cs="Times New Roman"/>
                <w:color w:val="000000"/>
              </w:rPr>
              <w:t xml:space="preserve">     12,524 </w:t>
            </w:r>
          </w:p>
        </w:tc>
      </w:tr>
      <w:tr w:rsidR="00C60436" w:rsidRPr="00C60436" w:rsidTr="00C60436">
        <w:trPr>
          <w:trHeight w:val="3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436" w:rsidRPr="00C60436" w:rsidRDefault="00C60436" w:rsidP="00C604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60436">
              <w:rPr>
                <w:rFonts w:ascii="Calibri" w:eastAsia="Times New Roman" w:hAnsi="Calibri" w:cs="Times New Roman"/>
                <w:color w:val="000000"/>
              </w:rPr>
              <w:t xml:space="preserve">R&amp;M </w:t>
            </w:r>
            <w:r w:rsidR="002F54CC">
              <w:rPr>
                <w:rFonts w:ascii="Calibri" w:eastAsia="Times New Roman" w:hAnsi="Calibri" w:cs="Times New Roman"/>
                <w:color w:val="000000"/>
              </w:rPr>
              <w:t>–</w:t>
            </w:r>
            <w:r w:rsidRPr="00C60436">
              <w:rPr>
                <w:rFonts w:ascii="Calibri" w:eastAsia="Times New Roman" w:hAnsi="Calibri" w:cs="Times New Roman"/>
                <w:color w:val="000000"/>
              </w:rPr>
              <w:t xml:space="preserve"> Actuals</w:t>
            </w:r>
            <w:r w:rsidR="002F54CC"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436" w:rsidRPr="00C60436" w:rsidRDefault="00C60436" w:rsidP="00C604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60436">
              <w:rPr>
                <w:rFonts w:ascii="Calibri" w:eastAsia="Times New Roman" w:hAnsi="Calibri" w:cs="Times New Roman"/>
                <w:color w:val="000000"/>
              </w:rPr>
              <w:t>Rs.Cr.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436" w:rsidRPr="00C60436" w:rsidRDefault="00C60436" w:rsidP="00E579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60436">
              <w:rPr>
                <w:rFonts w:ascii="Calibri" w:eastAsia="Times New Roman" w:hAnsi="Calibri" w:cs="Times New Roman"/>
                <w:color w:val="000000"/>
              </w:rPr>
              <w:t xml:space="preserve">              96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436" w:rsidRPr="00C60436" w:rsidRDefault="00C60436" w:rsidP="00E579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60436">
              <w:rPr>
                <w:rFonts w:ascii="Calibri" w:eastAsia="Times New Roman" w:hAnsi="Calibri" w:cs="Times New Roman"/>
                <w:color w:val="000000"/>
              </w:rPr>
              <w:t xml:space="preserve">              86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436" w:rsidRPr="00C60436" w:rsidRDefault="00C60436" w:rsidP="00E579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60436">
              <w:rPr>
                <w:rFonts w:ascii="Calibri" w:eastAsia="Times New Roman" w:hAnsi="Calibri" w:cs="Times New Roman"/>
                <w:color w:val="000000"/>
              </w:rPr>
              <w:t xml:space="preserve">           139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436" w:rsidRPr="00C60436" w:rsidRDefault="00C60436" w:rsidP="00E579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60436">
              <w:rPr>
                <w:rFonts w:ascii="Calibri" w:eastAsia="Times New Roman" w:hAnsi="Calibri" w:cs="Times New Roman"/>
                <w:color w:val="000000"/>
              </w:rPr>
              <w:t xml:space="preserve">           109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436" w:rsidRPr="00C60436" w:rsidRDefault="00C60436" w:rsidP="00E579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60436">
              <w:rPr>
                <w:rFonts w:ascii="Calibri" w:eastAsia="Times New Roman" w:hAnsi="Calibri" w:cs="Times New Roman"/>
                <w:color w:val="000000"/>
              </w:rPr>
              <w:t xml:space="preserve">           127 </w:t>
            </w:r>
          </w:p>
        </w:tc>
      </w:tr>
      <w:tr w:rsidR="00C60436" w:rsidRPr="00C60436" w:rsidTr="00C60436">
        <w:trPr>
          <w:trHeight w:val="3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436" w:rsidRPr="00C60436" w:rsidRDefault="00C60436" w:rsidP="00C604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60436">
              <w:rPr>
                <w:rFonts w:ascii="Calibri" w:eastAsia="Times New Roman" w:hAnsi="Calibri" w:cs="Times New Roman"/>
                <w:color w:val="000000"/>
              </w:rPr>
              <w:t>K=R&amp;M/GFA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436" w:rsidRPr="00C60436" w:rsidRDefault="00C60436" w:rsidP="00C604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60436">
              <w:rPr>
                <w:rFonts w:ascii="Calibri" w:eastAsia="Times New Roman" w:hAnsi="Calibri" w:cs="Times New Roman"/>
                <w:color w:val="000000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436" w:rsidRPr="00C60436" w:rsidRDefault="00C60436" w:rsidP="00E579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60436">
              <w:rPr>
                <w:rFonts w:ascii="Calibri" w:eastAsia="Times New Roman" w:hAnsi="Calibri" w:cs="Times New Roman"/>
                <w:color w:val="000000"/>
              </w:rPr>
              <w:t>1.42%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436" w:rsidRPr="00C60436" w:rsidRDefault="00C60436" w:rsidP="00E579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60436">
              <w:rPr>
                <w:rFonts w:ascii="Calibri" w:eastAsia="Times New Roman" w:hAnsi="Calibri" w:cs="Times New Roman"/>
                <w:color w:val="000000"/>
              </w:rPr>
              <w:t>1.10%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436" w:rsidRPr="00C60436" w:rsidRDefault="00C60436" w:rsidP="00E579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60436">
              <w:rPr>
                <w:rFonts w:ascii="Calibri" w:eastAsia="Times New Roman" w:hAnsi="Calibri" w:cs="Times New Roman"/>
                <w:color w:val="000000"/>
              </w:rPr>
              <w:t>1.43%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436" w:rsidRPr="00C60436" w:rsidRDefault="00C60436" w:rsidP="00E579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60436">
              <w:rPr>
                <w:rFonts w:ascii="Calibri" w:eastAsia="Times New Roman" w:hAnsi="Calibri" w:cs="Times New Roman"/>
                <w:color w:val="000000"/>
              </w:rPr>
              <w:t>0.96%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436" w:rsidRPr="00C60436" w:rsidRDefault="00C60436" w:rsidP="00E579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60436">
              <w:rPr>
                <w:rFonts w:ascii="Calibri" w:eastAsia="Times New Roman" w:hAnsi="Calibri" w:cs="Times New Roman"/>
                <w:color w:val="000000"/>
              </w:rPr>
              <w:t>1.01%</w:t>
            </w:r>
          </w:p>
        </w:tc>
      </w:tr>
      <w:tr w:rsidR="00C60436" w:rsidRPr="00C60436" w:rsidTr="00C60436">
        <w:trPr>
          <w:trHeight w:val="9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436" w:rsidRPr="00C60436" w:rsidRDefault="00C60436" w:rsidP="00C6043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C60436">
              <w:rPr>
                <w:rFonts w:ascii="Calibri" w:eastAsia="Times New Roman" w:hAnsi="Calibri" w:cs="Times New Roman"/>
                <w:b/>
                <w:color w:val="000000"/>
              </w:rPr>
              <w:t>Average k from FY 1</w:t>
            </w:r>
            <w:r w:rsidRPr="00B91CEE">
              <w:rPr>
                <w:rFonts w:ascii="Calibri" w:eastAsia="Times New Roman" w:hAnsi="Calibri" w:cs="Times New Roman"/>
                <w:b/>
                <w:color w:val="000000"/>
              </w:rPr>
              <w:t>4</w:t>
            </w:r>
            <w:r w:rsidRPr="00C60436">
              <w:rPr>
                <w:rFonts w:ascii="Calibri" w:eastAsia="Times New Roman" w:hAnsi="Calibri" w:cs="Times New Roman"/>
                <w:b/>
                <w:color w:val="000000"/>
              </w:rPr>
              <w:t>-1</w:t>
            </w:r>
            <w:r w:rsidRPr="00B91CEE">
              <w:rPr>
                <w:rFonts w:ascii="Calibri" w:eastAsia="Times New Roman" w:hAnsi="Calibri" w:cs="Times New Roman"/>
                <w:b/>
                <w:color w:val="000000"/>
              </w:rPr>
              <w:t>5</w:t>
            </w:r>
            <w:r w:rsidRPr="00C60436">
              <w:rPr>
                <w:rFonts w:ascii="Calibri" w:eastAsia="Times New Roman" w:hAnsi="Calibri" w:cs="Times New Roman"/>
                <w:b/>
                <w:color w:val="000000"/>
              </w:rPr>
              <w:t xml:space="preserve"> to FY 18-19 as per TSERC norms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436" w:rsidRPr="00C60436" w:rsidRDefault="00C60436" w:rsidP="00C6043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C60436">
              <w:rPr>
                <w:rFonts w:ascii="Calibri" w:eastAsia="Times New Roman" w:hAnsi="Calibri" w:cs="Times New Roman"/>
                <w:b/>
                <w:color w:val="000000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C60436" w:rsidRPr="00C60436" w:rsidRDefault="00C60436" w:rsidP="00C604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C60436">
              <w:rPr>
                <w:rFonts w:ascii="Calibri" w:eastAsia="Times New Roman" w:hAnsi="Calibri" w:cs="Times New Roman"/>
                <w:b/>
                <w:color w:val="000000"/>
              </w:rPr>
              <w:t>1.13%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 w:themeFill="background1"/>
            <w:hideMark/>
          </w:tcPr>
          <w:p w:rsidR="00C60436" w:rsidRPr="00C60436" w:rsidRDefault="00C60436" w:rsidP="00C604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</w:tbl>
    <w:p w:rsidR="00C60436" w:rsidRDefault="00C60436" w:rsidP="00C60436">
      <w:pPr>
        <w:pStyle w:val="ListParagraph"/>
        <w:rPr>
          <w:b/>
          <w:sz w:val="24"/>
        </w:rPr>
      </w:pPr>
    </w:p>
    <w:p w:rsidR="002F54CC" w:rsidRPr="004D7D14" w:rsidRDefault="002F54CC" w:rsidP="004D7D14">
      <w:pPr>
        <w:pStyle w:val="ListParagraph"/>
        <w:ind w:left="1440"/>
        <w:jc w:val="both"/>
        <w:rPr>
          <w:sz w:val="24"/>
        </w:rPr>
      </w:pPr>
      <w:r>
        <w:rPr>
          <w:b/>
          <w:sz w:val="24"/>
        </w:rPr>
        <w:t>* R</w:t>
      </w:r>
      <w:r w:rsidRPr="004D7D14">
        <w:rPr>
          <w:sz w:val="24"/>
        </w:rPr>
        <w:t xml:space="preserve">&amp;M </w:t>
      </w:r>
      <w:r w:rsidR="00EA591A">
        <w:rPr>
          <w:sz w:val="24"/>
        </w:rPr>
        <w:t>expenses</w:t>
      </w:r>
      <w:r w:rsidRPr="004D7D14">
        <w:rPr>
          <w:sz w:val="24"/>
        </w:rPr>
        <w:t xml:space="preserve"> considered are </w:t>
      </w:r>
      <w:r w:rsidR="00F3171F">
        <w:rPr>
          <w:sz w:val="24"/>
        </w:rPr>
        <w:t xml:space="preserve">actual </w:t>
      </w:r>
      <w:r w:rsidRPr="004D7D14">
        <w:rPr>
          <w:sz w:val="24"/>
        </w:rPr>
        <w:t>expenses after deducting the remuneration paid to the outsourcing employees who got regularized during FY 2017-18</w:t>
      </w:r>
      <w:r w:rsidR="00C22FD6">
        <w:rPr>
          <w:sz w:val="24"/>
        </w:rPr>
        <w:t xml:space="preserve"> and regrouped under employee cost</w:t>
      </w:r>
      <w:r w:rsidRPr="004D7D14">
        <w:rPr>
          <w:sz w:val="24"/>
        </w:rPr>
        <w:t>.</w:t>
      </w:r>
      <w:r w:rsidR="004D7D14" w:rsidRPr="004D7D14">
        <w:rPr>
          <w:sz w:val="24"/>
        </w:rPr>
        <w:t xml:space="preserve"> </w:t>
      </w:r>
    </w:p>
    <w:p w:rsidR="0007306D" w:rsidRDefault="0007306D" w:rsidP="0007306D">
      <w:pPr>
        <w:pStyle w:val="ListParagraph"/>
        <w:numPr>
          <w:ilvl w:val="0"/>
          <w:numId w:val="1"/>
        </w:numPr>
        <w:rPr>
          <w:b/>
          <w:sz w:val="24"/>
        </w:rPr>
      </w:pPr>
      <w:r w:rsidRPr="00705FEC">
        <w:rPr>
          <w:b/>
          <w:sz w:val="24"/>
        </w:rPr>
        <w:t>Reply to Query – IV. MYT for 4</w:t>
      </w:r>
      <w:r w:rsidRPr="00705FEC">
        <w:rPr>
          <w:b/>
          <w:sz w:val="24"/>
          <w:vertAlign w:val="superscript"/>
        </w:rPr>
        <w:t>th</w:t>
      </w:r>
      <w:r w:rsidRPr="00705FEC">
        <w:rPr>
          <w:b/>
          <w:sz w:val="24"/>
        </w:rPr>
        <w:t xml:space="preserve">  MYT Control Period from FY 2019-20 to FY 2023-24 (Point No.</w:t>
      </w:r>
      <w:r w:rsidR="00F22A0C">
        <w:rPr>
          <w:b/>
          <w:sz w:val="24"/>
        </w:rPr>
        <w:t>7</w:t>
      </w:r>
      <w:r w:rsidRPr="00705FEC">
        <w:rPr>
          <w:b/>
          <w:sz w:val="24"/>
        </w:rPr>
        <w:t>)</w:t>
      </w:r>
    </w:p>
    <w:p w:rsidR="00841C72" w:rsidRDefault="00400DB2" w:rsidP="00841C72">
      <w:pPr>
        <w:pStyle w:val="ListParagraph"/>
        <w:rPr>
          <w:sz w:val="24"/>
        </w:rPr>
      </w:pPr>
      <w:r>
        <w:rPr>
          <w:sz w:val="24"/>
        </w:rPr>
        <w:t>The details of Distribution Infrastructure for FY 2014-15 to FY 2018-19 are submitted below</w:t>
      </w:r>
    </w:p>
    <w:p w:rsidR="00400DB2" w:rsidRPr="00841C72" w:rsidRDefault="003B558D" w:rsidP="00AF5041">
      <w:pPr>
        <w:pStyle w:val="ListParagraph"/>
        <w:ind w:left="0"/>
        <w:rPr>
          <w:sz w:val="24"/>
        </w:rPr>
      </w:pPr>
      <w:r w:rsidRPr="003B558D">
        <w:rPr>
          <w:noProof/>
        </w:rPr>
        <w:drawing>
          <wp:inline distT="0" distB="0" distL="0" distR="0" wp14:anchorId="42FF185E" wp14:editId="4F569627">
            <wp:extent cx="6557875" cy="1806360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6905" cy="1806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2A0C" w:rsidRDefault="00F22A0C" w:rsidP="00F22A0C">
      <w:pPr>
        <w:pStyle w:val="ListParagraph"/>
        <w:numPr>
          <w:ilvl w:val="0"/>
          <w:numId w:val="1"/>
        </w:numPr>
        <w:rPr>
          <w:b/>
          <w:sz w:val="24"/>
        </w:rPr>
      </w:pPr>
      <w:r w:rsidRPr="00705FEC">
        <w:rPr>
          <w:b/>
          <w:sz w:val="24"/>
        </w:rPr>
        <w:t>Reply to Query – IV. MYT for 4</w:t>
      </w:r>
      <w:r w:rsidRPr="00705FEC">
        <w:rPr>
          <w:b/>
          <w:sz w:val="24"/>
          <w:vertAlign w:val="superscript"/>
        </w:rPr>
        <w:t>th</w:t>
      </w:r>
      <w:r w:rsidRPr="00705FEC">
        <w:rPr>
          <w:b/>
          <w:sz w:val="24"/>
        </w:rPr>
        <w:t xml:space="preserve">  MYT Control Period from FY 2019-20 to FY 2023-24 (Point No.</w:t>
      </w:r>
      <w:r>
        <w:rPr>
          <w:b/>
          <w:sz w:val="24"/>
        </w:rPr>
        <w:t>13</w:t>
      </w:r>
      <w:r w:rsidRPr="00705FEC">
        <w:rPr>
          <w:b/>
          <w:sz w:val="24"/>
        </w:rPr>
        <w:t>)</w:t>
      </w:r>
    </w:p>
    <w:p w:rsidR="00EE69C3" w:rsidRDefault="00E10286" w:rsidP="00EE69C3">
      <w:pPr>
        <w:pStyle w:val="ListParagraph"/>
        <w:rPr>
          <w:b/>
          <w:sz w:val="24"/>
        </w:rPr>
      </w:pPr>
      <w:r w:rsidRPr="00E10286">
        <w:rPr>
          <w:sz w:val="24"/>
        </w:rPr>
        <w:lastRenderedPageBreak/>
        <w:t>The</w:t>
      </w:r>
      <w:r>
        <w:rPr>
          <w:sz w:val="24"/>
        </w:rPr>
        <w:t xml:space="preserve"> computation details of depreciation claimed for 4</w:t>
      </w:r>
      <w:r w:rsidRPr="00E10286">
        <w:rPr>
          <w:sz w:val="24"/>
          <w:vertAlign w:val="superscript"/>
        </w:rPr>
        <w:t>th</w:t>
      </w:r>
      <w:r>
        <w:rPr>
          <w:sz w:val="24"/>
        </w:rPr>
        <w:t xml:space="preserve"> MYT Control Period is enclosed as </w:t>
      </w:r>
      <w:r w:rsidRPr="0008211B">
        <w:rPr>
          <w:b/>
          <w:sz w:val="24"/>
          <w:u w:val="single"/>
        </w:rPr>
        <w:t>Annexure-III</w:t>
      </w:r>
      <w:r w:rsidR="00C93C1E">
        <w:rPr>
          <w:b/>
          <w:sz w:val="24"/>
        </w:rPr>
        <w:t>.</w:t>
      </w:r>
    </w:p>
    <w:p w:rsidR="00F22A0C" w:rsidRDefault="00F22A0C" w:rsidP="00F22A0C">
      <w:pPr>
        <w:pStyle w:val="ListParagraph"/>
        <w:numPr>
          <w:ilvl w:val="0"/>
          <w:numId w:val="1"/>
        </w:numPr>
        <w:rPr>
          <w:b/>
          <w:sz w:val="24"/>
        </w:rPr>
      </w:pPr>
      <w:r w:rsidRPr="00705FEC">
        <w:rPr>
          <w:b/>
          <w:sz w:val="24"/>
        </w:rPr>
        <w:t>Reply to Query – IV. MYT for 4</w:t>
      </w:r>
      <w:r w:rsidRPr="00705FEC">
        <w:rPr>
          <w:b/>
          <w:sz w:val="24"/>
          <w:vertAlign w:val="superscript"/>
        </w:rPr>
        <w:t>th</w:t>
      </w:r>
      <w:r w:rsidRPr="00705FEC">
        <w:rPr>
          <w:b/>
          <w:sz w:val="24"/>
        </w:rPr>
        <w:t xml:space="preserve">  MYT Control Period from FY 2019-20 to FY 2023-24 (Point No.</w:t>
      </w:r>
      <w:r>
        <w:rPr>
          <w:b/>
          <w:sz w:val="24"/>
        </w:rPr>
        <w:t>15</w:t>
      </w:r>
      <w:r w:rsidRPr="00705FEC">
        <w:rPr>
          <w:b/>
          <w:sz w:val="24"/>
        </w:rPr>
        <w:t>)</w:t>
      </w:r>
    </w:p>
    <w:p w:rsidR="00AB6017" w:rsidRDefault="00455A90" w:rsidP="00AB6017">
      <w:pPr>
        <w:pStyle w:val="ListParagraph"/>
        <w:rPr>
          <w:sz w:val="24"/>
        </w:rPr>
      </w:pPr>
      <w:r>
        <w:rPr>
          <w:sz w:val="24"/>
        </w:rPr>
        <w:t>The Voltage wise loss for FY 2014-15 to FY 2018-19 are submitted herewith</w:t>
      </w:r>
    </w:p>
    <w:p w:rsidR="00D24E3D" w:rsidRDefault="00D24E3D" w:rsidP="00AB6017">
      <w:pPr>
        <w:pStyle w:val="ListParagraph"/>
        <w:rPr>
          <w:sz w:val="24"/>
        </w:rPr>
      </w:pPr>
    </w:p>
    <w:p w:rsidR="00455A90" w:rsidRPr="00455A90" w:rsidRDefault="00D54892" w:rsidP="00AB6017">
      <w:pPr>
        <w:pStyle w:val="ListParagraph"/>
        <w:rPr>
          <w:sz w:val="24"/>
        </w:rPr>
      </w:pPr>
      <w:r w:rsidRPr="00D54892">
        <w:rPr>
          <w:noProof/>
        </w:rPr>
        <w:drawing>
          <wp:inline distT="0" distB="0" distL="0" distR="0" wp14:anchorId="79A40E72" wp14:editId="25CB30B7">
            <wp:extent cx="5943600" cy="8585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2A0C" w:rsidRDefault="00F22A0C" w:rsidP="00F22A0C">
      <w:pPr>
        <w:pStyle w:val="ListParagraph"/>
        <w:numPr>
          <w:ilvl w:val="0"/>
          <w:numId w:val="1"/>
        </w:numPr>
        <w:rPr>
          <w:b/>
          <w:sz w:val="24"/>
        </w:rPr>
      </w:pPr>
      <w:r w:rsidRPr="00705FEC">
        <w:rPr>
          <w:b/>
          <w:sz w:val="24"/>
        </w:rPr>
        <w:t>Reply to Query – IV. MYT for 4</w:t>
      </w:r>
      <w:r w:rsidRPr="00705FEC">
        <w:rPr>
          <w:b/>
          <w:sz w:val="24"/>
          <w:vertAlign w:val="superscript"/>
        </w:rPr>
        <w:t>th</w:t>
      </w:r>
      <w:r w:rsidRPr="00705FEC">
        <w:rPr>
          <w:b/>
          <w:sz w:val="24"/>
        </w:rPr>
        <w:t xml:space="preserve">  MYT Control Period from FY 2019-20 to FY 2023-24 (Point No.</w:t>
      </w:r>
      <w:r>
        <w:rPr>
          <w:b/>
          <w:sz w:val="24"/>
        </w:rPr>
        <w:t>16</w:t>
      </w:r>
      <w:r w:rsidRPr="00705FEC">
        <w:rPr>
          <w:b/>
          <w:sz w:val="24"/>
        </w:rPr>
        <w:t>)</w:t>
      </w:r>
    </w:p>
    <w:tbl>
      <w:tblPr>
        <w:tblpPr w:leftFromText="180" w:rightFromText="180" w:vertAnchor="text" w:horzAnchor="page" w:tblpX="2053" w:tblpY="494"/>
        <w:tblW w:w="9245" w:type="dxa"/>
        <w:tblLook w:val="04A0" w:firstRow="1" w:lastRow="0" w:firstColumn="1" w:lastColumn="0" w:noHBand="0" w:noVBand="1"/>
      </w:tblPr>
      <w:tblGrid>
        <w:gridCol w:w="802"/>
        <w:gridCol w:w="1088"/>
        <w:gridCol w:w="1171"/>
        <w:gridCol w:w="1170"/>
        <w:gridCol w:w="1170"/>
        <w:gridCol w:w="1097"/>
        <w:gridCol w:w="1170"/>
        <w:gridCol w:w="1577"/>
      </w:tblGrid>
      <w:tr w:rsidR="00D37FA3" w:rsidRPr="00D37FA3" w:rsidTr="00EB3059">
        <w:trPr>
          <w:trHeight w:val="600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D37FA3" w:rsidRPr="00D37FA3" w:rsidRDefault="00D37FA3" w:rsidP="00A0547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D37FA3">
              <w:rPr>
                <w:rFonts w:ascii="Calibri" w:eastAsia="Times New Roman" w:hAnsi="Calibri" w:cs="Times New Roman"/>
                <w:b/>
                <w:bCs/>
              </w:rPr>
              <w:t xml:space="preserve">Losses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D37FA3" w:rsidRPr="00D37FA3" w:rsidRDefault="00D37FA3" w:rsidP="00A054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D37FA3">
              <w:rPr>
                <w:rFonts w:ascii="Calibri" w:eastAsia="Times New Roman" w:hAnsi="Calibri" w:cs="Times New Roman"/>
                <w:b/>
                <w:bCs/>
              </w:rPr>
              <w:t>FY18-19 Act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 w:themeFill="background2" w:themeFillShade="E6"/>
            <w:vAlign w:val="center"/>
            <w:hideMark/>
          </w:tcPr>
          <w:p w:rsidR="00D37FA3" w:rsidRPr="00EB3059" w:rsidRDefault="00D37FA3" w:rsidP="00A054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EB3059">
              <w:rPr>
                <w:rFonts w:ascii="Calibri" w:eastAsia="Times New Roman" w:hAnsi="Calibri" w:cs="Times New Roman"/>
                <w:b/>
                <w:bCs/>
              </w:rPr>
              <w:t>2019-20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 w:themeFill="background2" w:themeFillShade="E6"/>
            <w:vAlign w:val="center"/>
            <w:hideMark/>
          </w:tcPr>
          <w:p w:rsidR="00D37FA3" w:rsidRPr="00EB3059" w:rsidRDefault="00D37FA3" w:rsidP="00A054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EB3059">
              <w:rPr>
                <w:rFonts w:ascii="Calibri" w:eastAsia="Times New Roman" w:hAnsi="Calibri" w:cs="Times New Roman"/>
                <w:b/>
                <w:bCs/>
              </w:rPr>
              <w:t>2020-21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 w:themeFill="background2" w:themeFillShade="E6"/>
            <w:vAlign w:val="center"/>
            <w:hideMark/>
          </w:tcPr>
          <w:p w:rsidR="00D37FA3" w:rsidRPr="00EB3059" w:rsidRDefault="00D37FA3" w:rsidP="00A054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EB3059">
              <w:rPr>
                <w:rFonts w:ascii="Calibri" w:eastAsia="Times New Roman" w:hAnsi="Calibri" w:cs="Times New Roman"/>
                <w:b/>
                <w:bCs/>
              </w:rPr>
              <w:t>2021-22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 w:themeFill="background2" w:themeFillShade="E6"/>
            <w:vAlign w:val="center"/>
            <w:hideMark/>
          </w:tcPr>
          <w:p w:rsidR="00D37FA3" w:rsidRPr="00EB3059" w:rsidRDefault="00D37FA3" w:rsidP="00A054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EB3059">
              <w:rPr>
                <w:rFonts w:ascii="Calibri" w:eastAsia="Times New Roman" w:hAnsi="Calibri" w:cs="Times New Roman"/>
                <w:b/>
                <w:bCs/>
              </w:rPr>
              <w:t>2022-23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 w:themeFill="background2" w:themeFillShade="E6"/>
            <w:vAlign w:val="center"/>
            <w:hideMark/>
          </w:tcPr>
          <w:p w:rsidR="00D37FA3" w:rsidRPr="00EB3059" w:rsidRDefault="00D37FA3" w:rsidP="00A054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EB3059">
              <w:rPr>
                <w:rFonts w:ascii="Calibri" w:eastAsia="Times New Roman" w:hAnsi="Calibri" w:cs="Times New Roman"/>
                <w:b/>
                <w:bCs/>
              </w:rPr>
              <w:t>2023-24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 w:themeFill="background2" w:themeFillShade="E6"/>
          </w:tcPr>
          <w:p w:rsidR="00D37FA3" w:rsidRPr="00EB3059" w:rsidRDefault="00D37FA3" w:rsidP="00A054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EB3059">
              <w:rPr>
                <w:rFonts w:ascii="Calibri" w:eastAsia="Times New Roman" w:hAnsi="Calibri" w:cs="Times New Roman"/>
                <w:b/>
                <w:bCs/>
              </w:rPr>
              <w:t>% of reduction considered</w:t>
            </w:r>
          </w:p>
        </w:tc>
      </w:tr>
      <w:tr w:rsidR="00D37FA3" w:rsidRPr="00D37FA3" w:rsidTr="00A0547C">
        <w:trPr>
          <w:trHeight w:val="300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FA3" w:rsidRPr="00D37FA3" w:rsidRDefault="00D37FA3" w:rsidP="00A0547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D37FA3">
              <w:rPr>
                <w:rFonts w:ascii="Calibri" w:eastAsia="Times New Roman" w:hAnsi="Calibri" w:cs="Times New Roman"/>
                <w:b/>
                <w:bCs/>
              </w:rPr>
              <w:t>LT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FA3" w:rsidRPr="00D37FA3" w:rsidRDefault="00D37FA3" w:rsidP="00A054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</w:rPr>
            </w:pPr>
            <w:r w:rsidRPr="003A78A9">
              <w:rPr>
                <w:rFonts w:ascii="Calibri" w:eastAsia="Times New Roman" w:hAnsi="Calibri" w:cs="Times New Roman"/>
              </w:rPr>
              <w:t>6.05%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FA3" w:rsidRPr="00D37FA3" w:rsidRDefault="00D37FA3" w:rsidP="00A054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7FA3">
              <w:rPr>
                <w:rFonts w:ascii="Calibri" w:eastAsia="Times New Roman" w:hAnsi="Calibri" w:cs="Times New Roman"/>
                <w:color w:val="000000"/>
              </w:rPr>
              <w:t>5.93%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FA3" w:rsidRPr="00D37FA3" w:rsidRDefault="00D37FA3" w:rsidP="00A054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7FA3">
              <w:rPr>
                <w:rFonts w:ascii="Calibri" w:eastAsia="Times New Roman" w:hAnsi="Calibri" w:cs="Times New Roman"/>
                <w:color w:val="000000"/>
              </w:rPr>
              <w:t>5.81%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FA3" w:rsidRPr="00D37FA3" w:rsidRDefault="00D37FA3" w:rsidP="00A054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7FA3">
              <w:rPr>
                <w:rFonts w:ascii="Calibri" w:eastAsia="Times New Roman" w:hAnsi="Calibri" w:cs="Times New Roman"/>
                <w:color w:val="000000"/>
              </w:rPr>
              <w:t>5.69%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FA3" w:rsidRPr="00D37FA3" w:rsidRDefault="00D37FA3" w:rsidP="00A054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7FA3">
              <w:rPr>
                <w:rFonts w:ascii="Calibri" w:eastAsia="Times New Roman" w:hAnsi="Calibri" w:cs="Times New Roman"/>
                <w:color w:val="000000"/>
              </w:rPr>
              <w:t>5.58%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FA3" w:rsidRPr="00D37FA3" w:rsidRDefault="00D37FA3" w:rsidP="00A054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7FA3">
              <w:rPr>
                <w:rFonts w:ascii="Calibri" w:eastAsia="Times New Roman" w:hAnsi="Calibri" w:cs="Times New Roman"/>
                <w:color w:val="000000"/>
              </w:rPr>
              <w:t>5.47%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7FA3" w:rsidRPr="00D37FA3" w:rsidRDefault="00D37FA3" w:rsidP="00A054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2%</w:t>
            </w:r>
          </w:p>
        </w:tc>
      </w:tr>
      <w:tr w:rsidR="00D37FA3" w:rsidRPr="00D37FA3" w:rsidTr="00A0547C">
        <w:trPr>
          <w:trHeight w:val="300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FA3" w:rsidRPr="00D37FA3" w:rsidRDefault="00D37FA3" w:rsidP="00A0547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D37FA3">
              <w:rPr>
                <w:rFonts w:ascii="Calibri" w:eastAsia="Times New Roman" w:hAnsi="Calibri" w:cs="Times New Roman"/>
                <w:b/>
                <w:bCs/>
              </w:rPr>
              <w:t>11kV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FA3" w:rsidRPr="00D37FA3" w:rsidRDefault="00D37FA3" w:rsidP="00A054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D37FA3">
              <w:rPr>
                <w:rFonts w:ascii="Calibri" w:eastAsia="Times New Roman" w:hAnsi="Calibri" w:cs="Times New Roman"/>
              </w:rPr>
              <w:t>4.70%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FA3" w:rsidRPr="00D37FA3" w:rsidRDefault="00D37FA3" w:rsidP="00A054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7FA3">
              <w:rPr>
                <w:rFonts w:ascii="Calibri" w:eastAsia="Times New Roman" w:hAnsi="Calibri" w:cs="Times New Roman"/>
                <w:color w:val="000000"/>
              </w:rPr>
              <w:t>4.65%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FA3" w:rsidRPr="00D37FA3" w:rsidRDefault="00D37FA3" w:rsidP="00A054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7FA3">
              <w:rPr>
                <w:rFonts w:ascii="Calibri" w:eastAsia="Times New Roman" w:hAnsi="Calibri" w:cs="Times New Roman"/>
                <w:color w:val="000000"/>
              </w:rPr>
              <w:t>4.61%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FA3" w:rsidRPr="00D37FA3" w:rsidRDefault="00D37FA3" w:rsidP="00A054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7FA3">
              <w:rPr>
                <w:rFonts w:ascii="Calibri" w:eastAsia="Times New Roman" w:hAnsi="Calibri" w:cs="Times New Roman"/>
                <w:color w:val="000000"/>
              </w:rPr>
              <w:t>4.56%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FA3" w:rsidRPr="00D37FA3" w:rsidRDefault="00D37FA3" w:rsidP="00A054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7FA3">
              <w:rPr>
                <w:rFonts w:ascii="Calibri" w:eastAsia="Times New Roman" w:hAnsi="Calibri" w:cs="Times New Roman"/>
                <w:color w:val="000000"/>
              </w:rPr>
              <w:t>4.51%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FA3" w:rsidRPr="00D37FA3" w:rsidRDefault="00D37FA3" w:rsidP="00A054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7FA3">
              <w:rPr>
                <w:rFonts w:ascii="Calibri" w:eastAsia="Times New Roman" w:hAnsi="Calibri" w:cs="Times New Roman"/>
                <w:color w:val="000000"/>
              </w:rPr>
              <w:t>4.47%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7FA3" w:rsidRPr="00D37FA3" w:rsidRDefault="00D37FA3" w:rsidP="00A054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1%</w:t>
            </w:r>
          </w:p>
        </w:tc>
      </w:tr>
      <w:tr w:rsidR="00D37FA3" w:rsidRPr="00D37FA3" w:rsidTr="00A0547C">
        <w:trPr>
          <w:trHeight w:val="300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FA3" w:rsidRPr="00D37FA3" w:rsidRDefault="00D37FA3" w:rsidP="00A0547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D37FA3">
              <w:rPr>
                <w:rFonts w:ascii="Calibri" w:eastAsia="Times New Roman" w:hAnsi="Calibri" w:cs="Times New Roman"/>
                <w:b/>
                <w:bCs/>
              </w:rPr>
              <w:t>33kV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FA3" w:rsidRPr="00D37FA3" w:rsidRDefault="00D37FA3" w:rsidP="00A054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D37FA3">
              <w:rPr>
                <w:rFonts w:ascii="Calibri" w:eastAsia="Times New Roman" w:hAnsi="Calibri" w:cs="Times New Roman"/>
              </w:rPr>
              <w:t>3.70%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FA3" w:rsidRPr="00D37FA3" w:rsidRDefault="00D37FA3" w:rsidP="00A054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7FA3">
              <w:rPr>
                <w:rFonts w:ascii="Calibri" w:eastAsia="Times New Roman" w:hAnsi="Calibri" w:cs="Times New Roman"/>
                <w:color w:val="000000"/>
              </w:rPr>
              <w:t>3.68%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FA3" w:rsidRPr="00D37FA3" w:rsidRDefault="00D37FA3" w:rsidP="00A054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7FA3">
              <w:rPr>
                <w:rFonts w:ascii="Calibri" w:eastAsia="Times New Roman" w:hAnsi="Calibri" w:cs="Times New Roman"/>
                <w:color w:val="000000"/>
              </w:rPr>
              <w:t>3.66%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FA3" w:rsidRPr="00D37FA3" w:rsidRDefault="00D37FA3" w:rsidP="00A054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7FA3">
              <w:rPr>
                <w:rFonts w:ascii="Calibri" w:eastAsia="Times New Roman" w:hAnsi="Calibri" w:cs="Times New Roman"/>
                <w:color w:val="000000"/>
              </w:rPr>
              <w:t>3.64%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FA3" w:rsidRPr="00D37FA3" w:rsidRDefault="00D37FA3" w:rsidP="00A054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7FA3">
              <w:rPr>
                <w:rFonts w:ascii="Calibri" w:eastAsia="Times New Roman" w:hAnsi="Calibri" w:cs="Times New Roman"/>
                <w:color w:val="000000"/>
              </w:rPr>
              <w:t>3.63%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FA3" w:rsidRPr="00D37FA3" w:rsidRDefault="00D37FA3" w:rsidP="00A054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7FA3">
              <w:rPr>
                <w:rFonts w:ascii="Calibri" w:eastAsia="Times New Roman" w:hAnsi="Calibri" w:cs="Times New Roman"/>
                <w:color w:val="000000"/>
              </w:rPr>
              <w:t>3.61%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7FA3" w:rsidRPr="00D37FA3" w:rsidRDefault="00D37FA3" w:rsidP="00A054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0.5%</w:t>
            </w:r>
          </w:p>
        </w:tc>
      </w:tr>
    </w:tbl>
    <w:p w:rsidR="00D37FA3" w:rsidRPr="00430D2C" w:rsidRDefault="007722A6" w:rsidP="00451354">
      <w:pPr>
        <w:pStyle w:val="ListParagraph"/>
        <w:rPr>
          <w:sz w:val="24"/>
        </w:rPr>
      </w:pPr>
      <w:r w:rsidRPr="007722A6">
        <w:rPr>
          <w:sz w:val="24"/>
        </w:rPr>
        <w:t>The</w:t>
      </w:r>
      <w:r w:rsidR="00994568">
        <w:rPr>
          <w:b/>
          <w:sz w:val="24"/>
        </w:rPr>
        <w:t xml:space="preserve"> </w:t>
      </w:r>
      <w:r w:rsidR="00A0547C" w:rsidRPr="00430D2C">
        <w:rPr>
          <w:sz w:val="24"/>
        </w:rPr>
        <w:t>voltage wise losses proposed for 4</w:t>
      </w:r>
      <w:r w:rsidR="00A0547C" w:rsidRPr="00430D2C">
        <w:rPr>
          <w:sz w:val="24"/>
          <w:vertAlign w:val="superscript"/>
        </w:rPr>
        <w:t>th</w:t>
      </w:r>
      <w:r w:rsidR="00A0547C" w:rsidRPr="00430D2C">
        <w:rPr>
          <w:sz w:val="24"/>
        </w:rPr>
        <w:t xml:space="preserve"> MYT control period is as follows:</w:t>
      </w:r>
    </w:p>
    <w:p w:rsidR="00430D2C" w:rsidRDefault="00FD1681" w:rsidP="00451354">
      <w:pPr>
        <w:pStyle w:val="ListParagraph"/>
        <w:rPr>
          <w:sz w:val="24"/>
        </w:rPr>
      </w:pPr>
      <w:r w:rsidRPr="00FD1681">
        <w:rPr>
          <w:sz w:val="24"/>
        </w:rPr>
        <w:t xml:space="preserve"> Various measures to be undertaken by the DISCOM to achieve the above targets is as follows</w:t>
      </w:r>
      <w:r>
        <w:rPr>
          <w:sz w:val="24"/>
        </w:rPr>
        <w:t>:-</w:t>
      </w:r>
    </w:p>
    <w:tbl>
      <w:tblPr>
        <w:tblW w:w="4746" w:type="pct"/>
        <w:tblInd w:w="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2583"/>
        <w:gridCol w:w="947"/>
        <w:gridCol w:w="947"/>
        <w:gridCol w:w="986"/>
        <w:gridCol w:w="941"/>
        <w:gridCol w:w="984"/>
        <w:gridCol w:w="776"/>
        <w:gridCol w:w="802"/>
      </w:tblGrid>
      <w:tr w:rsidR="00373E21" w:rsidRPr="00203764" w:rsidTr="00EB3059">
        <w:trPr>
          <w:trHeight w:val="20"/>
        </w:trPr>
        <w:tc>
          <w:tcPr>
            <w:tcW w:w="1440" w:type="pct"/>
            <w:shd w:val="clear" w:color="000000" w:fill="DDD9C3" w:themeFill="background2" w:themeFillShade="E6"/>
            <w:hideMark/>
          </w:tcPr>
          <w:p w:rsidR="00373E21" w:rsidRPr="00EB3059" w:rsidRDefault="00373E21" w:rsidP="00974C87">
            <w:pPr>
              <w:spacing w:after="0"/>
              <w:rPr>
                <w:rFonts w:eastAsia="Times New Roman"/>
                <w:sz w:val="20"/>
                <w:szCs w:val="20"/>
              </w:rPr>
            </w:pPr>
            <w:r w:rsidRPr="00EB3059">
              <w:rPr>
                <w:rFonts w:eastAsia="Times New Roman"/>
                <w:b/>
                <w:bCs/>
                <w:sz w:val="20"/>
                <w:szCs w:val="20"/>
              </w:rPr>
              <w:t>Measures</w:t>
            </w:r>
          </w:p>
        </w:tc>
        <w:tc>
          <w:tcPr>
            <w:tcW w:w="528" w:type="pct"/>
            <w:shd w:val="clear" w:color="000000" w:fill="DDD9C3" w:themeFill="background2" w:themeFillShade="E6"/>
          </w:tcPr>
          <w:p w:rsidR="00373E21" w:rsidRPr="00EB3059" w:rsidRDefault="00373E21" w:rsidP="00974C87">
            <w:pPr>
              <w:spacing w:after="0"/>
              <w:jc w:val="center"/>
              <w:rPr>
                <w:rFonts w:eastAsia="Times New Roman"/>
                <w:b/>
                <w:bCs/>
                <w:sz w:val="19"/>
                <w:szCs w:val="19"/>
              </w:rPr>
            </w:pPr>
            <w:r w:rsidRPr="00EB3059">
              <w:rPr>
                <w:rFonts w:eastAsia="Times New Roman"/>
                <w:b/>
                <w:bCs/>
                <w:sz w:val="19"/>
                <w:szCs w:val="19"/>
              </w:rPr>
              <w:t>Unit</w:t>
            </w:r>
          </w:p>
        </w:tc>
        <w:tc>
          <w:tcPr>
            <w:tcW w:w="528" w:type="pct"/>
            <w:shd w:val="clear" w:color="000000" w:fill="DDD9C3" w:themeFill="background2" w:themeFillShade="E6"/>
            <w:vAlign w:val="center"/>
            <w:hideMark/>
          </w:tcPr>
          <w:p w:rsidR="00373E21" w:rsidRPr="00EB3059" w:rsidRDefault="00373E21" w:rsidP="00974C87">
            <w:pPr>
              <w:spacing w:after="0"/>
              <w:jc w:val="center"/>
              <w:rPr>
                <w:rFonts w:eastAsia="Times New Roman"/>
                <w:b/>
                <w:bCs/>
                <w:sz w:val="19"/>
                <w:szCs w:val="19"/>
              </w:rPr>
            </w:pPr>
            <w:r w:rsidRPr="00EB3059">
              <w:rPr>
                <w:rFonts w:eastAsia="Times New Roman"/>
                <w:b/>
                <w:bCs/>
                <w:sz w:val="19"/>
                <w:szCs w:val="19"/>
              </w:rPr>
              <w:t>FY19-20</w:t>
            </w:r>
          </w:p>
        </w:tc>
        <w:tc>
          <w:tcPr>
            <w:tcW w:w="550" w:type="pct"/>
            <w:shd w:val="clear" w:color="000000" w:fill="DDD9C3" w:themeFill="background2" w:themeFillShade="E6"/>
            <w:vAlign w:val="center"/>
            <w:hideMark/>
          </w:tcPr>
          <w:p w:rsidR="00373E21" w:rsidRPr="00EB3059" w:rsidRDefault="00373E21" w:rsidP="00974C87">
            <w:pPr>
              <w:spacing w:after="0"/>
              <w:jc w:val="center"/>
              <w:rPr>
                <w:rFonts w:eastAsia="Times New Roman"/>
                <w:b/>
                <w:bCs/>
                <w:sz w:val="19"/>
                <w:szCs w:val="19"/>
              </w:rPr>
            </w:pPr>
            <w:r w:rsidRPr="00EB3059">
              <w:rPr>
                <w:rFonts w:eastAsia="Times New Roman"/>
                <w:b/>
                <w:bCs/>
                <w:sz w:val="19"/>
                <w:szCs w:val="19"/>
              </w:rPr>
              <w:t>FY 20-21</w:t>
            </w:r>
          </w:p>
        </w:tc>
        <w:tc>
          <w:tcPr>
            <w:tcW w:w="525" w:type="pct"/>
            <w:shd w:val="clear" w:color="000000" w:fill="DDD9C3" w:themeFill="background2" w:themeFillShade="E6"/>
            <w:vAlign w:val="center"/>
            <w:hideMark/>
          </w:tcPr>
          <w:p w:rsidR="00373E21" w:rsidRPr="00EB3059" w:rsidRDefault="00373E21" w:rsidP="00974C87">
            <w:pPr>
              <w:spacing w:after="0"/>
              <w:jc w:val="center"/>
              <w:rPr>
                <w:rFonts w:eastAsia="Times New Roman"/>
                <w:b/>
                <w:bCs/>
                <w:sz w:val="19"/>
                <w:szCs w:val="19"/>
              </w:rPr>
            </w:pPr>
            <w:r w:rsidRPr="00EB3059">
              <w:rPr>
                <w:rFonts w:eastAsia="Times New Roman"/>
                <w:b/>
                <w:bCs/>
                <w:sz w:val="19"/>
                <w:szCs w:val="19"/>
              </w:rPr>
              <w:t>FY21-22</w:t>
            </w:r>
          </w:p>
        </w:tc>
        <w:tc>
          <w:tcPr>
            <w:tcW w:w="549" w:type="pct"/>
            <w:shd w:val="clear" w:color="000000" w:fill="DDD9C3" w:themeFill="background2" w:themeFillShade="E6"/>
            <w:vAlign w:val="center"/>
            <w:hideMark/>
          </w:tcPr>
          <w:p w:rsidR="00373E21" w:rsidRPr="00EB3059" w:rsidRDefault="00373E21" w:rsidP="00974C87">
            <w:pPr>
              <w:spacing w:after="0"/>
              <w:jc w:val="center"/>
              <w:rPr>
                <w:rFonts w:eastAsia="Times New Roman"/>
                <w:b/>
                <w:bCs/>
                <w:sz w:val="19"/>
                <w:szCs w:val="19"/>
              </w:rPr>
            </w:pPr>
            <w:r w:rsidRPr="00EB3059">
              <w:rPr>
                <w:rFonts w:eastAsia="Times New Roman"/>
                <w:b/>
                <w:bCs/>
                <w:sz w:val="19"/>
                <w:szCs w:val="19"/>
              </w:rPr>
              <w:t>FY 22-23</w:t>
            </w:r>
          </w:p>
        </w:tc>
        <w:tc>
          <w:tcPr>
            <w:tcW w:w="433" w:type="pct"/>
            <w:shd w:val="clear" w:color="000000" w:fill="DDD9C3" w:themeFill="background2" w:themeFillShade="E6"/>
            <w:vAlign w:val="center"/>
            <w:hideMark/>
          </w:tcPr>
          <w:p w:rsidR="00373E21" w:rsidRPr="00EB3059" w:rsidRDefault="00373E21" w:rsidP="00974C87">
            <w:pPr>
              <w:spacing w:after="0"/>
              <w:jc w:val="center"/>
              <w:rPr>
                <w:rFonts w:eastAsia="Times New Roman"/>
                <w:b/>
                <w:bCs/>
                <w:sz w:val="19"/>
                <w:szCs w:val="19"/>
              </w:rPr>
            </w:pPr>
            <w:r w:rsidRPr="00EB3059">
              <w:rPr>
                <w:rFonts w:eastAsia="Times New Roman"/>
                <w:b/>
                <w:bCs/>
                <w:sz w:val="19"/>
                <w:szCs w:val="19"/>
              </w:rPr>
              <w:t>FY23-24</w:t>
            </w:r>
          </w:p>
        </w:tc>
        <w:tc>
          <w:tcPr>
            <w:tcW w:w="447" w:type="pct"/>
            <w:shd w:val="clear" w:color="000000" w:fill="DDD9C3" w:themeFill="background2" w:themeFillShade="E6"/>
            <w:vAlign w:val="center"/>
            <w:hideMark/>
          </w:tcPr>
          <w:p w:rsidR="00373E21" w:rsidRPr="00EB3059" w:rsidRDefault="00373E21" w:rsidP="00974C87">
            <w:pPr>
              <w:spacing w:after="0"/>
              <w:jc w:val="center"/>
              <w:rPr>
                <w:rFonts w:eastAsia="Times New Roman"/>
                <w:b/>
                <w:bCs/>
                <w:sz w:val="19"/>
                <w:szCs w:val="19"/>
              </w:rPr>
            </w:pPr>
            <w:r w:rsidRPr="00EB3059">
              <w:rPr>
                <w:rFonts w:eastAsia="Times New Roman"/>
                <w:b/>
                <w:bCs/>
                <w:sz w:val="19"/>
                <w:szCs w:val="19"/>
              </w:rPr>
              <w:t>Total</w:t>
            </w:r>
          </w:p>
        </w:tc>
      </w:tr>
      <w:tr w:rsidR="00373E21" w:rsidRPr="00203764" w:rsidTr="00373E21">
        <w:trPr>
          <w:trHeight w:val="20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73E21" w:rsidRPr="00373E21" w:rsidRDefault="00373E21" w:rsidP="00974C87">
            <w:pPr>
              <w:spacing w:after="0"/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73E21">
              <w:rPr>
                <w:rFonts w:eastAsia="Times New Roman"/>
                <w:b/>
                <w:color w:val="000000"/>
                <w:sz w:val="24"/>
                <w:szCs w:val="20"/>
              </w:rPr>
              <w:t>Base Capex</w:t>
            </w:r>
          </w:p>
        </w:tc>
      </w:tr>
      <w:tr w:rsidR="00373E21" w:rsidRPr="00203764" w:rsidTr="00373E21">
        <w:trPr>
          <w:trHeight w:val="20"/>
        </w:trPr>
        <w:tc>
          <w:tcPr>
            <w:tcW w:w="1440" w:type="pct"/>
            <w:shd w:val="clear" w:color="auto" w:fill="auto"/>
            <w:vAlign w:val="center"/>
          </w:tcPr>
          <w:p w:rsidR="00373E21" w:rsidRPr="007D1EF5" w:rsidRDefault="00373E21" w:rsidP="00974C87">
            <w:pPr>
              <w:spacing w:after="0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7D1EF5">
              <w:rPr>
                <w:rFonts w:eastAsia="Times New Roman"/>
                <w:b/>
                <w:color w:val="000000"/>
                <w:sz w:val="20"/>
                <w:szCs w:val="20"/>
              </w:rPr>
              <w:t>Addition of new Substations due to overloading</w:t>
            </w:r>
          </w:p>
        </w:tc>
        <w:tc>
          <w:tcPr>
            <w:tcW w:w="528" w:type="pct"/>
          </w:tcPr>
          <w:p w:rsidR="00373E21" w:rsidRPr="00203764" w:rsidRDefault="00373E21" w:rsidP="00974C87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28" w:type="pct"/>
            <w:shd w:val="clear" w:color="auto" w:fill="auto"/>
            <w:vAlign w:val="bottom"/>
          </w:tcPr>
          <w:p w:rsidR="00373E21" w:rsidRPr="00203764" w:rsidRDefault="00373E21" w:rsidP="00974C87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:rsidR="00373E21" w:rsidRPr="00203764" w:rsidRDefault="00373E21" w:rsidP="00974C87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auto"/>
            <w:vAlign w:val="bottom"/>
          </w:tcPr>
          <w:p w:rsidR="00373E21" w:rsidRPr="00203764" w:rsidRDefault="00373E21" w:rsidP="00974C87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:rsidR="00373E21" w:rsidRPr="00203764" w:rsidRDefault="00373E21" w:rsidP="00974C87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shd w:val="clear" w:color="auto" w:fill="auto"/>
            <w:vAlign w:val="bottom"/>
          </w:tcPr>
          <w:p w:rsidR="00373E21" w:rsidRPr="00203764" w:rsidRDefault="00373E21" w:rsidP="00974C87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  <w:vAlign w:val="bottom"/>
          </w:tcPr>
          <w:p w:rsidR="00373E21" w:rsidRPr="00203764" w:rsidRDefault="00373E21" w:rsidP="00974C87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373E21" w:rsidRPr="00203764" w:rsidTr="00373E21">
        <w:trPr>
          <w:trHeight w:val="20"/>
        </w:trPr>
        <w:tc>
          <w:tcPr>
            <w:tcW w:w="1440" w:type="pct"/>
            <w:shd w:val="clear" w:color="auto" w:fill="auto"/>
            <w:vAlign w:val="center"/>
            <w:hideMark/>
          </w:tcPr>
          <w:p w:rsidR="00373E21" w:rsidRPr="00203764" w:rsidRDefault="00373E21" w:rsidP="00974C87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-</w:t>
            </w:r>
            <w:r w:rsidRPr="00203764">
              <w:rPr>
                <w:rFonts w:eastAsia="Times New Roman"/>
                <w:color w:val="000000"/>
                <w:sz w:val="20"/>
                <w:szCs w:val="20"/>
              </w:rPr>
              <w:t>Total number of SS</w:t>
            </w:r>
          </w:p>
        </w:tc>
        <w:tc>
          <w:tcPr>
            <w:tcW w:w="528" w:type="pct"/>
          </w:tcPr>
          <w:p w:rsidR="00373E21" w:rsidRPr="00203764" w:rsidRDefault="00373E21" w:rsidP="00974C87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Nos.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373E21" w:rsidRPr="00203764" w:rsidRDefault="00373E21" w:rsidP="009F0485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203764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73E21" w:rsidRPr="00203764" w:rsidRDefault="00373E21" w:rsidP="009F0485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203764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525" w:type="pct"/>
            <w:shd w:val="clear" w:color="auto" w:fill="auto"/>
            <w:vAlign w:val="bottom"/>
            <w:hideMark/>
          </w:tcPr>
          <w:p w:rsidR="00373E21" w:rsidRPr="00203764" w:rsidRDefault="00373E21" w:rsidP="009F0485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203764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549" w:type="pct"/>
            <w:shd w:val="clear" w:color="auto" w:fill="auto"/>
            <w:vAlign w:val="bottom"/>
            <w:hideMark/>
          </w:tcPr>
          <w:p w:rsidR="00373E21" w:rsidRPr="00203764" w:rsidRDefault="00373E21" w:rsidP="009F0485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203764">
              <w:rPr>
                <w:color w:val="000000"/>
                <w:sz w:val="20"/>
                <w:szCs w:val="20"/>
              </w:rPr>
              <w:t>91</w:t>
            </w:r>
          </w:p>
        </w:tc>
        <w:tc>
          <w:tcPr>
            <w:tcW w:w="433" w:type="pct"/>
            <w:shd w:val="clear" w:color="auto" w:fill="auto"/>
            <w:vAlign w:val="bottom"/>
            <w:hideMark/>
          </w:tcPr>
          <w:p w:rsidR="00373E21" w:rsidRPr="00203764" w:rsidRDefault="00373E21" w:rsidP="009F0485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203764">
              <w:rPr>
                <w:color w:val="000000"/>
                <w:sz w:val="20"/>
                <w:szCs w:val="20"/>
              </w:rPr>
              <w:t>91</w:t>
            </w:r>
          </w:p>
        </w:tc>
        <w:tc>
          <w:tcPr>
            <w:tcW w:w="447" w:type="pct"/>
            <w:shd w:val="clear" w:color="auto" w:fill="auto"/>
            <w:vAlign w:val="bottom"/>
            <w:hideMark/>
          </w:tcPr>
          <w:p w:rsidR="00373E21" w:rsidRPr="009F0485" w:rsidRDefault="00373E21" w:rsidP="009F0485">
            <w:pPr>
              <w:spacing w:after="0"/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9F0485">
              <w:rPr>
                <w:b/>
                <w:color w:val="000000"/>
                <w:sz w:val="20"/>
                <w:szCs w:val="20"/>
              </w:rPr>
              <w:t>314</w:t>
            </w:r>
          </w:p>
        </w:tc>
      </w:tr>
      <w:tr w:rsidR="00373E21" w:rsidRPr="00203764" w:rsidTr="00373E21">
        <w:trPr>
          <w:trHeight w:val="20"/>
        </w:trPr>
        <w:tc>
          <w:tcPr>
            <w:tcW w:w="1440" w:type="pct"/>
            <w:shd w:val="clear" w:color="auto" w:fill="auto"/>
            <w:vAlign w:val="center"/>
            <w:hideMark/>
          </w:tcPr>
          <w:p w:rsidR="00373E21" w:rsidRPr="00203764" w:rsidRDefault="00373E21" w:rsidP="00974C87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-</w:t>
            </w:r>
            <w:r w:rsidRPr="00203764">
              <w:rPr>
                <w:rFonts w:eastAsia="Times New Roman"/>
                <w:color w:val="000000"/>
                <w:sz w:val="20"/>
                <w:szCs w:val="20"/>
              </w:rPr>
              <w:t>Total Capacity Added (MVA)</w:t>
            </w:r>
          </w:p>
        </w:tc>
        <w:tc>
          <w:tcPr>
            <w:tcW w:w="528" w:type="pct"/>
          </w:tcPr>
          <w:p w:rsidR="00373E21" w:rsidRPr="00203764" w:rsidRDefault="00373E21" w:rsidP="00974C87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MVA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373E21" w:rsidRPr="00203764" w:rsidRDefault="00373E21" w:rsidP="009F0485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203764">
              <w:rPr>
                <w:color w:val="000000"/>
                <w:sz w:val="20"/>
                <w:szCs w:val="20"/>
              </w:rPr>
              <w:t>227.5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73E21" w:rsidRPr="00203764" w:rsidRDefault="00373E21" w:rsidP="009F0485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203764">
              <w:rPr>
                <w:color w:val="000000"/>
                <w:sz w:val="20"/>
                <w:szCs w:val="20"/>
              </w:rPr>
              <w:t>261.5</w:t>
            </w:r>
          </w:p>
        </w:tc>
        <w:tc>
          <w:tcPr>
            <w:tcW w:w="525" w:type="pct"/>
            <w:shd w:val="clear" w:color="auto" w:fill="auto"/>
            <w:vAlign w:val="bottom"/>
            <w:hideMark/>
          </w:tcPr>
          <w:p w:rsidR="00373E21" w:rsidRPr="00203764" w:rsidRDefault="00373E21" w:rsidP="009F0485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203764">
              <w:rPr>
                <w:color w:val="000000"/>
                <w:sz w:val="20"/>
                <w:szCs w:val="20"/>
              </w:rPr>
              <w:t>526</w:t>
            </w:r>
          </w:p>
        </w:tc>
        <w:tc>
          <w:tcPr>
            <w:tcW w:w="549" w:type="pct"/>
            <w:shd w:val="clear" w:color="auto" w:fill="auto"/>
            <w:vAlign w:val="bottom"/>
            <w:hideMark/>
          </w:tcPr>
          <w:p w:rsidR="00373E21" w:rsidRPr="00203764" w:rsidRDefault="00373E21" w:rsidP="009F0485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203764">
              <w:rPr>
                <w:color w:val="000000"/>
                <w:sz w:val="20"/>
                <w:szCs w:val="20"/>
              </w:rPr>
              <w:t>569.5</w:t>
            </w:r>
          </w:p>
        </w:tc>
        <w:tc>
          <w:tcPr>
            <w:tcW w:w="433" w:type="pct"/>
            <w:shd w:val="clear" w:color="auto" w:fill="auto"/>
            <w:vAlign w:val="bottom"/>
            <w:hideMark/>
          </w:tcPr>
          <w:p w:rsidR="00373E21" w:rsidRPr="00203764" w:rsidRDefault="00373E21" w:rsidP="009F0485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203764">
              <w:rPr>
                <w:color w:val="000000"/>
                <w:sz w:val="20"/>
                <w:szCs w:val="20"/>
              </w:rPr>
              <w:t>549.5</w:t>
            </w:r>
          </w:p>
        </w:tc>
        <w:tc>
          <w:tcPr>
            <w:tcW w:w="447" w:type="pct"/>
            <w:shd w:val="clear" w:color="auto" w:fill="auto"/>
            <w:vAlign w:val="bottom"/>
            <w:hideMark/>
          </w:tcPr>
          <w:p w:rsidR="00373E21" w:rsidRPr="009F0485" w:rsidRDefault="00373E21" w:rsidP="009F0485">
            <w:pPr>
              <w:spacing w:after="0"/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9F0485">
              <w:rPr>
                <w:b/>
                <w:color w:val="000000"/>
                <w:sz w:val="20"/>
                <w:szCs w:val="20"/>
              </w:rPr>
              <w:t>2134</w:t>
            </w:r>
          </w:p>
        </w:tc>
      </w:tr>
      <w:tr w:rsidR="00373E21" w:rsidRPr="00CD0148" w:rsidTr="00373E21">
        <w:trPr>
          <w:trHeight w:val="20"/>
        </w:trPr>
        <w:tc>
          <w:tcPr>
            <w:tcW w:w="1440" w:type="pct"/>
            <w:shd w:val="clear" w:color="auto" w:fill="auto"/>
            <w:vAlign w:val="center"/>
          </w:tcPr>
          <w:p w:rsidR="00373E21" w:rsidRPr="00CD0148" w:rsidRDefault="00373E21" w:rsidP="00974C87">
            <w:pPr>
              <w:spacing w:after="0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CD0148">
              <w:rPr>
                <w:rFonts w:eastAsia="Times New Roman"/>
                <w:b/>
                <w:color w:val="000000"/>
                <w:sz w:val="20"/>
                <w:szCs w:val="20"/>
              </w:rPr>
              <w:t>Upgradation of overloaded PTRs</w:t>
            </w:r>
          </w:p>
        </w:tc>
        <w:tc>
          <w:tcPr>
            <w:tcW w:w="528" w:type="pct"/>
          </w:tcPr>
          <w:p w:rsidR="00373E21" w:rsidRPr="00CD0148" w:rsidRDefault="00373E21" w:rsidP="00974C87">
            <w:pPr>
              <w:spacing w:after="0"/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28" w:type="pct"/>
            <w:shd w:val="clear" w:color="auto" w:fill="auto"/>
            <w:vAlign w:val="bottom"/>
          </w:tcPr>
          <w:p w:rsidR="00373E21" w:rsidRPr="00CD0148" w:rsidRDefault="00373E21" w:rsidP="009F0485">
            <w:pPr>
              <w:spacing w:after="0"/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:rsidR="00373E21" w:rsidRPr="00CD0148" w:rsidRDefault="00373E21" w:rsidP="009F0485">
            <w:pPr>
              <w:spacing w:after="0"/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auto"/>
            <w:vAlign w:val="bottom"/>
          </w:tcPr>
          <w:p w:rsidR="00373E21" w:rsidRPr="00CD0148" w:rsidRDefault="00373E21" w:rsidP="009F0485">
            <w:pPr>
              <w:spacing w:after="0"/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:rsidR="00373E21" w:rsidRPr="00CD0148" w:rsidRDefault="00373E21" w:rsidP="009F0485">
            <w:pPr>
              <w:spacing w:after="0"/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shd w:val="clear" w:color="auto" w:fill="auto"/>
            <w:vAlign w:val="bottom"/>
          </w:tcPr>
          <w:p w:rsidR="00373E21" w:rsidRPr="00CD0148" w:rsidRDefault="00373E21" w:rsidP="009F0485">
            <w:pPr>
              <w:spacing w:after="0"/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  <w:vAlign w:val="bottom"/>
          </w:tcPr>
          <w:p w:rsidR="00373E21" w:rsidRPr="009F0485" w:rsidRDefault="00373E21" w:rsidP="009F0485">
            <w:pPr>
              <w:spacing w:after="0"/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</w:p>
        </w:tc>
      </w:tr>
      <w:tr w:rsidR="00373E21" w:rsidRPr="00CD0148" w:rsidTr="00373E21">
        <w:trPr>
          <w:trHeight w:val="20"/>
        </w:trPr>
        <w:tc>
          <w:tcPr>
            <w:tcW w:w="1440" w:type="pct"/>
            <w:shd w:val="clear" w:color="auto" w:fill="auto"/>
            <w:vAlign w:val="center"/>
          </w:tcPr>
          <w:p w:rsidR="00373E21" w:rsidRPr="00203764" w:rsidRDefault="00373E21" w:rsidP="00974C87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-Total number of PTRs</w:t>
            </w:r>
          </w:p>
        </w:tc>
        <w:tc>
          <w:tcPr>
            <w:tcW w:w="528" w:type="pct"/>
          </w:tcPr>
          <w:p w:rsidR="00373E21" w:rsidRPr="00203764" w:rsidRDefault="00373E21" w:rsidP="00974C87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Nos.</w:t>
            </w:r>
          </w:p>
        </w:tc>
        <w:tc>
          <w:tcPr>
            <w:tcW w:w="528" w:type="pct"/>
            <w:shd w:val="clear" w:color="auto" w:fill="auto"/>
            <w:vAlign w:val="bottom"/>
          </w:tcPr>
          <w:p w:rsidR="00373E21" w:rsidRPr="00203764" w:rsidRDefault="00373E21" w:rsidP="009F0485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203764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550" w:type="pct"/>
            <w:shd w:val="clear" w:color="auto" w:fill="auto"/>
            <w:vAlign w:val="bottom"/>
          </w:tcPr>
          <w:p w:rsidR="00373E21" w:rsidRPr="00203764" w:rsidRDefault="00373E21" w:rsidP="009F0485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203764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373E21" w:rsidRPr="00203764" w:rsidRDefault="00373E21" w:rsidP="009F0485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203764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373E21" w:rsidRPr="00203764" w:rsidRDefault="00373E21" w:rsidP="009F0485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203764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373E21" w:rsidRPr="00203764" w:rsidRDefault="00373E21" w:rsidP="009F0485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203764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447" w:type="pct"/>
            <w:shd w:val="clear" w:color="auto" w:fill="auto"/>
            <w:vAlign w:val="bottom"/>
          </w:tcPr>
          <w:p w:rsidR="00373E21" w:rsidRPr="009F0485" w:rsidRDefault="00373E21" w:rsidP="009F0485">
            <w:pPr>
              <w:spacing w:after="0"/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9F0485">
              <w:rPr>
                <w:b/>
                <w:color w:val="000000"/>
                <w:sz w:val="20"/>
                <w:szCs w:val="20"/>
              </w:rPr>
              <w:t>169</w:t>
            </w:r>
          </w:p>
        </w:tc>
      </w:tr>
      <w:tr w:rsidR="00373E21" w:rsidRPr="00CD0148" w:rsidTr="00373E21">
        <w:trPr>
          <w:trHeight w:val="20"/>
        </w:trPr>
        <w:tc>
          <w:tcPr>
            <w:tcW w:w="1440" w:type="pct"/>
            <w:shd w:val="clear" w:color="auto" w:fill="auto"/>
            <w:vAlign w:val="center"/>
          </w:tcPr>
          <w:p w:rsidR="00373E21" w:rsidRPr="00203764" w:rsidRDefault="00373E21" w:rsidP="005334CD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-</w:t>
            </w:r>
            <w:r w:rsidRPr="00203764">
              <w:rPr>
                <w:rFonts w:eastAsia="Times New Roman"/>
                <w:color w:val="000000"/>
                <w:sz w:val="20"/>
                <w:szCs w:val="20"/>
              </w:rPr>
              <w:t xml:space="preserve">Total Capacity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upgraded</w:t>
            </w:r>
            <w:r w:rsidRPr="00203764">
              <w:rPr>
                <w:rFonts w:eastAsia="Times New Roman"/>
                <w:color w:val="000000"/>
                <w:sz w:val="20"/>
                <w:szCs w:val="20"/>
              </w:rPr>
              <w:t xml:space="preserve"> (MVA)</w:t>
            </w:r>
          </w:p>
        </w:tc>
        <w:tc>
          <w:tcPr>
            <w:tcW w:w="528" w:type="pct"/>
          </w:tcPr>
          <w:p w:rsidR="00373E21" w:rsidRPr="00203764" w:rsidRDefault="00373E21" w:rsidP="00974C87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MVA</w:t>
            </w:r>
          </w:p>
        </w:tc>
        <w:tc>
          <w:tcPr>
            <w:tcW w:w="528" w:type="pct"/>
            <w:shd w:val="clear" w:color="auto" w:fill="auto"/>
            <w:vAlign w:val="bottom"/>
          </w:tcPr>
          <w:p w:rsidR="00373E21" w:rsidRPr="00203764" w:rsidRDefault="00373E21" w:rsidP="009F0485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203764">
              <w:rPr>
                <w:color w:val="000000"/>
                <w:sz w:val="20"/>
                <w:szCs w:val="20"/>
              </w:rPr>
              <w:t>287</w:t>
            </w:r>
          </w:p>
        </w:tc>
        <w:tc>
          <w:tcPr>
            <w:tcW w:w="550" w:type="pct"/>
            <w:shd w:val="clear" w:color="auto" w:fill="auto"/>
            <w:vAlign w:val="bottom"/>
          </w:tcPr>
          <w:p w:rsidR="00373E21" w:rsidRPr="00203764" w:rsidRDefault="00373E21" w:rsidP="009F0485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203764"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373E21" w:rsidRPr="00203764" w:rsidRDefault="00373E21" w:rsidP="009F0485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203764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373E21" w:rsidRPr="00203764" w:rsidRDefault="00373E21" w:rsidP="009F0485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203764"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373E21" w:rsidRPr="00203764" w:rsidRDefault="00373E21" w:rsidP="009F0485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203764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447" w:type="pct"/>
            <w:shd w:val="clear" w:color="auto" w:fill="auto"/>
            <w:vAlign w:val="bottom"/>
          </w:tcPr>
          <w:p w:rsidR="00373E21" w:rsidRPr="009F0485" w:rsidRDefault="00373E21" w:rsidP="009F0485">
            <w:pPr>
              <w:spacing w:after="0"/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9F0485">
              <w:rPr>
                <w:b/>
                <w:color w:val="000000"/>
                <w:sz w:val="20"/>
                <w:szCs w:val="20"/>
              </w:rPr>
              <w:t>648</w:t>
            </w:r>
          </w:p>
        </w:tc>
      </w:tr>
      <w:tr w:rsidR="00373E21" w:rsidRPr="00CD0148" w:rsidTr="00373E21">
        <w:trPr>
          <w:trHeight w:val="20"/>
        </w:trPr>
        <w:tc>
          <w:tcPr>
            <w:tcW w:w="1440" w:type="pct"/>
            <w:shd w:val="clear" w:color="auto" w:fill="auto"/>
            <w:vAlign w:val="center"/>
          </w:tcPr>
          <w:p w:rsidR="00373E21" w:rsidRDefault="00373E21" w:rsidP="005334CD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Addition of DTRs for reduction of loading on DTRs and to cater the load growth  (Nos.)</w:t>
            </w:r>
          </w:p>
        </w:tc>
        <w:tc>
          <w:tcPr>
            <w:tcW w:w="528" w:type="pct"/>
          </w:tcPr>
          <w:p w:rsidR="00373E21" w:rsidRPr="00203764" w:rsidRDefault="00373E21" w:rsidP="00974C87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Nos.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373E21" w:rsidRPr="00203764" w:rsidRDefault="00373E21" w:rsidP="009F0485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203764">
              <w:rPr>
                <w:sz w:val="20"/>
                <w:szCs w:val="20"/>
              </w:rPr>
              <w:t>17,968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373E21" w:rsidRPr="00203764" w:rsidRDefault="00373E21" w:rsidP="009F0485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203764">
              <w:rPr>
                <w:sz w:val="20"/>
                <w:szCs w:val="20"/>
              </w:rPr>
              <w:t>19,112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373E21" w:rsidRPr="00203764" w:rsidRDefault="00373E21" w:rsidP="009F0485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203764">
              <w:rPr>
                <w:sz w:val="20"/>
                <w:szCs w:val="20"/>
              </w:rPr>
              <w:t>20,431</w:t>
            </w:r>
          </w:p>
        </w:tc>
        <w:tc>
          <w:tcPr>
            <w:tcW w:w="549" w:type="pct"/>
            <w:shd w:val="clear" w:color="auto" w:fill="auto"/>
            <w:vAlign w:val="center"/>
          </w:tcPr>
          <w:p w:rsidR="00373E21" w:rsidRPr="00203764" w:rsidRDefault="00373E21" w:rsidP="009F0485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203764">
              <w:rPr>
                <w:sz w:val="20"/>
                <w:szCs w:val="20"/>
              </w:rPr>
              <w:t>21,930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373E21" w:rsidRPr="00203764" w:rsidRDefault="00373E21" w:rsidP="009F0485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203764">
              <w:rPr>
                <w:sz w:val="20"/>
                <w:szCs w:val="20"/>
              </w:rPr>
              <w:t>23,653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373E21" w:rsidRPr="009F0485" w:rsidRDefault="00373E21" w:rsidP="009F0485">
            <w:pPr>
              <w:spacing w:after="0"/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9F0485">
              <w:rPr>
                <w:b/>
                <w:sz w:val="20"/>
                <w:szCs w:val="20"/>
              </w:rPr>
              <w:t>103,094</w:t>
            </w:r>
          </w:p>
        </w:tc>
      </w:tr>
      <w:tr w:rsidR="00373E21" w:rsidRPr="00CD0148" w:rsidTr="001D65D7">
        <w:trPr>
          <w:trHeight w:val="332"/>
        </w:trPr>
        <w:tc>
          <w:tcPr>
            <w:tcW w:w="5000" w:type="pct"/>
            <w:gridSpan w:val="8"/>
            <w:shd w:val="clear" w:color="auto" w:fill="auto"/>
          </w:tcPr>
          <w:p w:rsidR="00373E21" w:rsidRPr="001D65D7" w:rsidRDefault="00373E21" w:rsidP="001D65D7">
            <w:pPr>
              <w:pStyle w:val="NoSpacing"/>
              <w:jc w:val="center"/>
              <w:rPr>
                <w:b/>
              </w:rPr>
            </w:pPr>
            <w:r w:rsidRPr="001D65D7">
              <w:rPr>
                <w:b/>
              </w:rPr>
              <w:t>Other Capex</w:t>
            </w:r>
          </w:p>
        </w:tc>
      </w:tr>
      <w:tr w:rsidR="00373E21" w:rsidRPr="00CD0148" w:rsidTr="00373E21">
        <w:trPr>
          <w:trHeight w:val="20"/>
        </w:trPr>
        <w:tc>
          <w:tcPr>
            <w:tcW w:w="1440" w:type="pct"/>
            <w:shd w:val="clear" w:color="auto" w:fill="auto"/>
            <w:vAlign w:val="center"/>
          </w:tcPr>
          <w:p w:rsidR="00373E21" w:rsidRPr="00203764" w:rsidRDefault="00373E21" w:rsidP="00974C87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Meter Replacement ( Installation of High Quality meters)</w:t>
            </w:r>
          </w:p>
        </w:tc>
        <w:tc>
          <w:tcPr>
            <w:tcW w:w="528" w:type="pct"/>
          </w:tcPr>
          <w:p w:rsidR="00373E21" w:rsidRPr="00203764" w:rsidRDefault="00373E21" w:rsidP="00974C87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Rs. Crs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373E21" w:rsidRPr="00203764" w:rsidRDefault="00373E21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18.4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373E21" w:rsidRPr="00203764" w:rsidRDefault="00373E21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22.0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373E21" w:rsidRPr="00203764" w:rsidRDefault="00373E21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22.5</w:t>
            </w:r>
          </w:p>
        </w:tc>
        <w:tc>
          <w:tcPr>
            <w:tcW w:w="549" w:type="pct"/>
            <w:shd w:val="clear" w:color="auto" w:fill="auto"/>
            <w:vAlign w:val="center"/>
          </w:tcPr>
          <w:p w:rsidR="00373E21" w:rsidRPr="00203764" w:rsidRDefault="00373E21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23.0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373E21" w:rsidRPr="00203764" w:rsidRDefault="00373E21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23.6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373E21" w:rsidRPr="00203764" w:rsidRDefault="00373E21" w:rsidP="009F0485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IN" w:eastAsia="en-IN"/>
              </w:rPr>
              <w:t>109.5</w:t>
            </w:r>
          </w:p>
        </w:tc>
      </w:tr>
      <w:tr w:rsidR="00373E21" w:rsidRPr="00CD0148" w:rsidTr="00373E21">
        <w:trPr>
          <w:trHeight w:val="20"/>
        </w:trPr>
        <w:tc>
          <w:tcPr>
            <w:tcW w:w="1440" w:type="pct"/>
            <w:shd w:val="clear" w:color="auto" w:fill="auto"/>
            <w:vAlign w:val="center"/>
          </w:tcPr>
          <w:p w:rsidR="00373E21" w:rsidRPr="00203764" w:rsidRDefault="00373E21" w:rsidP="00974C87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Capacitor Banks</w:t>
            </w:r>
          </w:p>
        </w:tc>
        <w:tc>
          <w:tcPr>
            <w:tcW w:w="528" w:type="pct"/>
          </w:tcPr>
          <w:p w:rsidR="00373E21" w:rsidRPr="00203764" w:rsidRDefault="00373E21" w:rsidP="00974C87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Rs. Crs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373E21" w:rsidRPr="00203764" w:rsidRDefault="00373E21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5.9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373E21" w:rsidRPr="00203764" w:rsidRDefault="00373E21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6.3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373E21" w:rsidRPr="00203764" w:rsidRDefault="00373E21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6.7</w:t>
            </w:r>
          </w:p>
        </w:tc>
        <w:tc>
          <w:tcPr>
            <w:tcW w:w="549" w:type="pct"/>
            <w:shd w:val="clear" w:color="auto" w:fill="auto"/>
            <w:vAlign w:val="center"/>
          </w:tcPr>
          <w:p w:rsidR="00373E21" w:rsidRPr="00203764" w:rsidRDefault="00373E21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7.2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373E21" w:rsidRPr="00203764" w:rsidRDefault="00373E21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7.7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373E21" w:rsidRPr="00203764" w:rsidRDefault="00373E21" w:rsidP="009F0485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IN" w:eastAsia="en-IN"/>
              </w:rPr>
              <w:t>33.8</w:t>
            </w:r>
          </w:p>
        </w:tc>
      </w:tr>
      <w:tr w:rsidR="00373E21" w:rsidRPr="00CD0148" w:rsidTr="00373E21">
        <w:trPr>
          <w:trHeight w:val="20"/>
        </w:trPr>
        <w:tc>
          <w:tcPr>
            <w:tcW w:w="1440" w:type="pct"/>
            <w:shd w:val="clear" w:color="auto" w:fill="auto"/>
            <w:vAlign w:val="center"/>
          </w:tcPr>
          <w:p w:rsidR="00373E21" w:rsidRPr="00203764" w:rsidRDefault="00373E21" w:rsidP="00974C87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lastRenderedPageBreak/>
              <w:t xml:space="preserve">MRI instruments </w:t>
            </w:r>
          </w:p>
        </w:tc>
        <w:tc>
          <w:tcPr>
            <w:tcW w:w="528" w:type="pct"/>
          </w:tcPr>
          <w:p w:rsidR="00373E21" w:rsidRPr="00203764" w:rsidRDefault="00373E21" w:rsidP="00974C87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Rs. Crs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373E21" w:rsidRPr="00203764" w:rsidRDefault="00373E21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1.1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373E21" w:rsidRPr="00203764" w:rsidRDefault="00373E21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0.0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373E21" w:rsidRPr="00203764" w:rsidRDefault="00373E21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0.0</w:t>
            </w:r>
          </w:p>
        </w:tc>
        <w:tc>
          <w:tcPr>
            <w:tcW w:w="549" w:type="pct"/>
            <w:shd w:val="clear" w:color="auto" w:fill="auto"/>
            <w:vAlign w:val="center"/>
          </w:tcPr>
          <w:p w:rsidR="00373E21" w:rsidRPr="00203764" w:rsidRDefault="00373E21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0.0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373E21" w:rsidRPr="00203764" w:rsidRDefault="00373E21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0.0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373E21" w:rsidRPr="00203764" w:rsidRDefault="00373E21" w:rsidP="009F0485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IN" w:eastAsia="en-IN"/>
              </w:rPr>
              <w:t>1.1</w:t>
            </w:r>
          </w:p>
        </w:tc>
      </w:tr>
      <w:tr w:rsidR="00B376FA" w:rsidRPr="00CD0148" w:rsidTr="00373E21">
        <w:trPr>
          <w:trHeight w:val="20"/>
        </w:trPr>
        <w:tc>
          <w:tcPr>
            <w:tcW w:w="1440" w:type="pct"/>
            <w:shd w:val="clear" w:color="auto" w:fill="auto"/>
            <w:vAlign w:val="center"/>
          </w:tcPr>
          <w:p w:rsidR="00B376FA" w:rsidRPr="007A5045" w:rsidRDefault="00B376FA" w:rsidP="00974C87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7A5045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Replacement of existing 34 sqmm conductor with 55 sqmm conductor</w:t>
            </w:r>
          </w:p>
        </w:tc>
        <w:tc>
          <w:tcPr>
            <w:tcW w:w="528" w:type="pct"/>
          </w:tcPr>
          <w:p w:rsidR="00B376FA" w:rsidRPr="00203764" w:rsidRDefault="00B376FA" w:rsidP="00974C87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Rs. Crs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B376FA" w:rsidRPr="007A5045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7A5045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0.4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B376FA" w:rsidRPr="007A5045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7A5045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0.5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B376FA" w:rsidRPr="007A5045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7A5045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0.5</w:t>
            </w:r>
          </w:p>
        </w:tc>
        <w:tc>
          <w:tcPr>
            <w:tcW w:w="549" w:type="pct"/>
            <w:shd w:val="clear" w:color="auto" w:fill="auto"/>
            <w:vAlign w:val="center"/>
          </w:tcPr>
          <w:p w:rsidR="00B376FA" w:rsidRPr="007A5045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7A5045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0.6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B376FA" w:rsidRPr="007A5045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7A5045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0.6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B376FA" w:rsidRPr="007A5045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IN" w:eastAsia="en-IN"/>
              </w:rPr>
            </w:pPr>
            <w:r w:rsidRPr="007A504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IN" w:eastAsia="en-IN"/>
              </w:rPr>
              <w:t>2.6</w:t>
            </w:r>
          </w:p>
        </w:tc>
      </w:tr>
      <w:tr w:rsidR="00B376FA" w:rsidRPr="00CD0148" w:rsidTr="00533D03">
        <w:trPr>
          <w:trHeight w:val="20"/>
        </w:trPr>
        <w:tc>
          <w:tcPr>
            <w:tcW w:w="1440" w:type="pct"/>
            <w:shd w:val="clear" w:color="auto" w:fill="auto"/>
            <w:vAlign w:val="center"/>
          </w:tcPr>
          <w:p w:rsidR="00B376FA" w:rsidRPr="00203764" w:rsidRDefault="00B376FA" w:rsidP="00974C87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 xml:space="preserve"> R</w:t>
            </w:r>
            <w:r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enovation</w:t>
            </w: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 xml:space="preserve"> &amp; M</w:t>
            </w:r>
            <w:r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odernisation</w:t>
            </w: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 xml:space="preserve"> of SS</w:t>
            </w:r>
          </w:p>
        </w:tc>
        <w:tc>
          <w:tcPr>
            <w:tcW w:w="528" w:type="pct"/>
          </w:tcPr>
          <w:p w:rsidR="00B376FA" w:rsidRPr="00203764" w:rsidRDefault="00B376FA" w:rsidP="00974C87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Rs. Crs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3.2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3.6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4.1</w:t>
            </w:r>
          </w:p>
        </w:tc>
        <w:tc>
          <w:tcPr>
            <w:tcW w:w="549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4.6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5.1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IN" w:eastAsia="en-IN"/>
              </w:rPr>
              <w:t>20.7</w:t>
            </w:r>
          </w:p>
        </w:tc>
      </w:tr>
      <w:tr w:rsidR="00B376FA" w:rsidRPr="00CD0148" w:rsidTr="00533D03">
        <w:trPr>
          <w:trHeight w:val="20"/>
        </w:trPr>
        <w:tc>
          <w:tcPr>
            <w:tcW w:w="1440" w:type="pct"/>
            <w:shd w:val="clear" w:color="auto" w:fill="auto"/>
            <w:vAlign w:val="center"/>
          </w:tcPr>
          <w:p w:rsidR="00B376FA" w:rsidRPr="00203764" w:rsidRDefault="00B376FA" w:rsidP="00974C87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 xml:space="preserve"> R</w:t>
            </w:r>
            <w:r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enovation</w:t>
            </w: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 xml:space="preserve"> &amp; M</w:t>
            </w:r>
            <w:r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odernisation</w:t>
            </w: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 xml:space="preserve"> of DTR</w:t>
            </w:r>
          </w:p>
        </w:tc>
        <w:tc>
          <w:tcPr>
            <w:tcW w:w="528" w:type="pct"/>
          </w:tcPr>
          <w:p w:rsidR="00B376FA" w:rsidRPr="00203764" w:rsidRDefault="00B376FA" w:rsidP="00974C87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Rs. Crs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71.4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90.0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111.1</w:t>
            </w:r>
          </w:p>
        </w:tc>
        <w:tc>
          <w:tcPr>
            <w:tcW w:w="549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135.0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162.0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IN" w:eastAsia="en-IN"/>
              </w:rPr>
              <w:t>569.6</w:t>
            </w:r>
          </w:p>
        </w:tc>
      </w:tr>
      <w:tr w:rsidR="00B376FA" w:rsidRPr="00CD0148" w:rsidTr="00533D03">
        <w:trPr>
          <w:trHeight w:val="20"/>
        </w:trPr>
        <w:tc>
          <w:tcPr>
            <w:tcW w:w="1440" w:type="pct"/>
            <w:shd w:val="clear" w:color="auto" w:fill="auto"/>
            <w:vAlign w:val="center"/>
          </w:tcPr>
          <w:p w:rsidR="00B376FA" w:rsidRPr="00203764" w:rsidRDefault="00B376FA" w:rsidP="00974C87">
            <w:pPr>
              <w:spacing w:after="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IN" w:eastAsia="en-IN"/>
              </w:rPr>
              <w:t>Proposed Retirement of existing assets</w:t>
            </w:r>
          </w:p>
        </w:tc>
        <w:tc>
          <w:tcPr>
            <w:tcW w:w="528" w:type="pct"/>
          </w:tcPr>
          <w:p w:rsidR="00B376FA" w:rsidRPr="00203764" w:rsidRDefault="00B376FA" w:rsidP="00974C87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IN" w:eastAsia="en-IN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IN" w:eastAsia="en-IN"/>
              </w:rPr>
            </w:pPr>
          </w:p>
        </w:tc>
        <w:tc>
          <w:tcPr>
            <w:tcW w:w="525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IN" w:eastAsia="en-IN"/>
              </w:rPr>
            </w:pPr>
          </w:p>
        </w:tc>
        <w:tc>
          <w:tcPr>
            <w:tcW w:w="549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IN" w:eastAsia="en-IN"/>
              </w:rPr>
            </w:pPr>
          </w:p>
        </w:tc>
        <w:tc>
          <w:tcPr>
            <w:tcW w:w="433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IN" w:eastAsia="en-IN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IN" w:eastAsia="en-IN"/>
              </w:rPr>
            </w:pPr>
          </w:p>
        </w:tc>
      </w:tr>
      <w:tr w:rsidR="00B376FA" w:rsidRPr="00CD0148" w:rsidTr="00533D03">
        <w:trPr>
          <w:trHeight w:val="20"/>
        </w:trPr>
        <w:tc>
          <w:tcPr>
            <w:tcW w:w="1440" w:type="pct"/>
            <w:shd w:val="clear" w:color="auto" w:fill="auto"/>
            <w:vAlign w:val="center"/>
          </w:tcPr>
          <w:p w:rsidR="00B376FA" w:rsidRPr="00203764" w:rsidRDefault="00B376FA" w:rsidP="00974C87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- PTRs</w:t>
            </w:r>
          </w:p>
        </w:tc>
        <w:tc>
          <w:tcPr>
            <w:tcW w:w="528" w:type="pct"/>
          </w:tcPr>
          <w:p w:rsidR="00B376FA" w:rsidRPr="00203764" w:rsidRDefault="00B376FA" w:rsidP="00974C87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Rs. Crs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4.0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5.0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6.3</w:t>
            </w:r>
          </w:p>
        </w:tc>
        <w:tc>
          <w:tcPr>
            <w:tcW w:w="549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7.7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9.3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IN" w:eastAsia="en-IN"/>
              </w:rPr>
              <w:t>32.3</w:t>
            </w:r>
          </w:p>
        </w:tc>
      </w:tr>
      <w:tr w:rsidR="00B376FA" w:rsidRPr="00CD0148" w:rsidTr="00533D03">
        <w:trPr>
          <w:trHeight w:val="20"/>
        </w:trPr>
        <w:tc>
          <w:tcPr>
            <w:tcW w:w="1440" w:type="pct"/>
            <w:shd w:val="clear" w:color="auto" w:fill="auto"/>
            <w:vAlign w:val="center"/>
          </w:tcPr>
          <w:p w:rsidR="00B376FA" w:rsidRPr="00203764" w:rsidRDefault="00B376FA" w:rsidP="00974C87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- 33KV line</w:t>
            </w:r>
          </w:p>
        </w:tc>
        <w:tc>
          <w:tcPr>
            <w:tcW w:w="528" w:type="pct"/>
          </w:tcPr>
          <w:p w:rsidR="00B376FA" w:rsidRPr="00203764" w:rsidRDefault="00B376FA" w:rsidP="00974C87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Rs. Crs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1.2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1.4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1.5</w:t>
            </w:r>
          </w:p>
        </w:tc>
        <w:tc>
          <w:tcPr>
            <w:tcW w:w="549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1.7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1.9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IN" w:eastAsia="en-IN"/>
              </w:rPr>
              <w:t>7.8</w:t>
            </w:r>
          </w:p>
        </w:tc>
      </w:tr>
      <w:tr w:rsidR="00B376FA" w:rsidRPr="00CD0148" w:rsidTr="00533D03">
        <w:trPr>
          <w:trHeight w:val="20"/>
        </w:trPr>
        <w:tc>
          <w:tcPr>
            <w:tcW w:w="1440" w:type="pct"/>
            <w:shd w:val="clear" w:color="auto" w:fill="auto"/>
            <w:vAlign w:val="center"/>
          </w:tcPr>
          <w:p w:rsidR="00B376FA" w:rsidRPr="00203764" w:rsidRDefault="00B376FA" w:rsidP="00974C87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- 11KV line</w:t>
            </w:r>
          </w:p>
        </w:tc>
        <w:tc>
          <w:tcPr>
            <w:tcW w:w="528" w:type="pct"/>
          </w:tcPr>
          <w:p w:rsidR="00B376FA" w:rsidRPr="00203764" w:rsidRDefault="00B376FA" w:rsidP="00974C87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Rs. Crs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1.5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1.7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1.9</w:t>
            </w:r>
          </w:p>
        </w:tc>
        <w:tc>
          <w:tcPr>
            <w:tcW w:w="549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2.2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2.5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IN" w:eastAsia="en-IN"/>
              </w:rPr>
              <w:t>9.9</w:t>
            </w:r>
          </w:p>
        </w:tc>
      </w:tr>
      <w:tr w:rsidR="00B376FA" w:rsidRPr="00CD0148" w:rsidTr="00533D03">
        <w:trPr>
          <w:trHeight w:val="20"/>
        </w:trPr>
        <w:tc>
          <w:tcPr>
            <w:tcW w:w="1440" w:type="pct"/>
            <w:shd w:val="clear" w:color="auto" w:fill="auto"/>
            <w:vAlign w:val="center"/>
          </w:tcPr>
          <w:p w:rsidR="00B376FA" w:rsidRPr="00203764" w:rsidRDefault="00B376FA" w:rsidP="00974C87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- DTR</w:t>
            </w:r>
          </w:p>
        </w:tc>
        <w:tc>
          <w:tcPr>
            <w:tcW w:w="528" w:type="pct"/>
          </w:tcPr>
          <w:p w:rsidR="00B376FA" w:rsidRPr="00203764" w:rsidRDefault="00B376FA" w:rsidP="00974C87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Rs. Crs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23.0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26.1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29.2</w:t>
            </w:r>
          </w:p>
        </w:tc>
        <w:tc>
          <w:tcPr>
            <w:tcW w:w="549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33.5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38.0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IN" w:eastAsia="en-IN"/>
              </w:rPr>
              <w:t>149.9</w:t>
            </w:r>
          </w:p>
        </w:tc>
      </w:tr>
      <w:tr w:rsidR="00B376FA" w:rsidRPr="00CD0148" w:rsidTr="00533D03">
        <w:trPr>
          <w:trHeight w:val="20"/>
        </w:trPr>
        <w:tc>
          <w:tcPr>
            <w:tcW w:w="1440" w:type="pct"/>
            <w:shd w:val="clear" w:color="auto" w:fill="auto"/>
            <w:vAlign w:val="center"/>
          </w:tcPr>
          <w:p w:rsidR="00B376FA" w:rsidRPr="00203764" w:rsidRDefault="00B376FA" w:rsidP="00974C87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- LT line</w:t>
            </w:r>
          </w:p>
        </w:tc>
        <w:tc>
          <w:tcPr>
            <w:tcW w:w="528" w:type="pct"/>
          </w:tcPr>
          <w:p w:rsidR="00B376FA" w:rsidRPr="00203764" w:rsidRDefault="00B376FA" w:rsidP="00974C87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Rs. Crs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1.6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1.8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2.0</w:t>
            </w:r>
          </w:p>
        </w:tc>
        <w:tc>
          <w:tcPr>
            <w:tcW w:w="549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2.3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2.6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IN" w:eastAsia="en-IN"/>
              </w:rPr>
              <w:t>10.2</w:t>
            </w:r>
          </w:p>
        </w:tc>
      </w:tr>
      <w:tr w:rsidR="00B376FA" w:rsidRPr="00CD0148" w:rsidTr="00533D03">
        <w:trPr>
          <w:trHeight w:val="20"/>
        </w:trPr>
        <w:tc>
          <w:tcPr>
            <w:tcW w:w="1440" w:type="pct"/>
            <w:shd w:val="clear" w:color="auto" w:fill="auto"/>
            <w:vAlign w:val="center"/>
          </w:tcPr>
          <w:p w:rsidR="00B376FA" w:rsidRPr="00203764" w:rsidRDefault="00B376FA" w:rsidP="00974C87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- LT 1-Phase meter</w:t>
            </w:r>
          </w:p>
        </w:tc>
        <w:tc>
          <w:tcPr>
            <w:tcW w:w="528" w:type="pct"/>
          </w:tcPr>
          <w:p w:rsidR="00B376FA" w:rsidRPr="00203764" w:rsidRDefault="00B376FA" w:rsidP="00974C87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Rs. Crs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22.5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25.4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22.0</w:t>
            </w:r>
          </w:p>
        </w:tc>
        <w:tc>
          <w:tcPr>
            <w:tcW w:w="549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18.9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15.6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IN" w:eastAsia="en-IN"/>
              </w:rPr>
              <w:t>104.3</w:t>
            </w:r>
          </w:p>
        </w:tc>
      </w:tr>
      <w:tr w:rsidR="00B376FA" w:rsidRPr="00CD0148" w:rsidTr="00533D03">
        <w:trPr>
          <w:trHeight w:val="20"/>
        </w:trPr>
        <w:tc>
          <w:tcPr>
            <w:tcW w:w="1440" w:type="pct"/>
            <w:shd w:val="clear" w:color="auto" w:fill="auto"/>
            <w:vAlign w:val="center"/>
          </w:tcPr>
          <w:p w:rsidR="00B376FA" w:rsidRPr="00203764" w:rsidRDefault="00B376FA" w:rsidP="00974C87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- LT 3-Phase meter</w:t>
            </w:r>
          </w:p>
        </w:tc>
        <w:tc>
          <w:tcPr>
            <w:tcW w:w="528" w:type="pct"/>
          </w:tcPr>
          <w:p w:rsidR="00B376FA" w:rsidRPr="00203764" w:rsidRDefault="00B376FA" w:rsidP="00974C87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Rs. Crs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18.6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21.0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21.2</w:t>
            </w:r>
          </w:p>
        </w:tc>
        <w:tc>
          <w:tcPr>
            <w:tcW w:w="549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19.7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20.2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IN" w:eastAsia="en-IN"/>
              </w:rPr>
              <w:t>100.7</w:t>
            </w:r>
          </w:p>
        </w:tc>
      </w:tr>
      <w:tr w:rsidR="00B376FA" w:rsidRPr="00CD0148" w:rsidTr="00533D03">
        <w:trPr>
          <w:trHeight w:val="20"/>
        </w:trPr>
        <w:tc>
          <w:tcPr>
            <w:tcW w:w="1440" w:type="pct"/>
            <w:shd w:val="clear" w:color="auto" w:fill="auto"/>
            <w:vAlign w:val="center"/>
          </w:tcPr>
          <w:p w:rsidR="00B376FA" w:rsidRPr="00203764" w:rsidRDefault="00B376FA" w:rsidP="00974C87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- LT CT meter</w:t>
            </w:r>
          </w:p>
        </w:tc>
        <w:tc>
          <w:tcPr>
            <w:tcW w:w="528" w:type="pct"/>
          </w:tcPr>
          <w:p w:rsidR="00B376FA" w:rsidRPr="00203764" w:rsidRDefault="00B376FA" w:rsidP="00974C87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Rs. Crs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16.1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18.8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18.6</w:t>
            </w:r>
          </w:p>
        </w:tc>
        <w:tc>
          <w:tcPr>
            <w:tcW w:w="549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19.2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19.8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IN" w:eastAsia="en-IN"/>
              </w:rPr>
              <w:t>92.5</w:t>
            </w:r>
          </w:p>
        </w:tc>
      </w:tr>
      <w:tr w:rsidR="00B376FA" w:rsidRPr="00CD0148" w:rsidTr="00533D03">
        <w:trPr>
          <w:trHeight w:val="20"/>
        </w:trPr>
        <w:tc>
          <w:tcPr>
            <w:tcW w:w="1440" w:type="pct"/>
            <w:shd w:val="clear" w:color="auto" w:fill="auto"/>
            <w:vAlign w:val="center"/>
          </w:tcPr>
          <w:p w:rsidR="00B376FA" w:rsidRPr="00203764" w:rsidRDefault="00B376FA" w:rsidP="00974C87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- HT meter</w:t>
            </w:r>
          </w:p>
        </w:tc>
        <w:tc>
          <w:tcPr>
            <w:tcW w:w="528" w:type="pct"/>
          </w:tcPr>
          <w:p w:rsidR="00B376FA" w:rsidRPr="00203764" w:rsidRDefault="00B376FA" w:rsidP="00974C87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Rs. Crs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4.1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4.2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4.3</w:t>
            </w:r>
          </w:p>
        </w:tc>
        <w:tc>
          <w:tcPr>
            <w:tcW w:w="549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4.4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sz w:val="18"/>
                <w:szCs w:val="18"/>
                <w:lang w:val="en-IN" w:eastAsia="en-IN"/>
              </w:rPr>
              <w:t>4.6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B376FA" w:rsidRPr="00203764" w:rsidRDefault="00B376FA" w:rsidP="009F0485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IN" w:eastAsia="en-IN"/>
              </w:rPr>
            </w:pPr>
            <w:r w:rsidRPr="00203764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IN" w:eastAsia="en-IN"/>
              </w:rPr>
              <w:t>21.5</w:t>
            </w:r>
          </w:p>
        </w:tc>
      </w:tr>
    </w:tbl>
    <w:p w:rsidR="007D1EF5" w:rsidRDefault="007D1EF5" w:rsidP="007D1EF5">
      <w:pPr>
        <w:pStyle w:val="ListParagraph"/>
        <w:ind w:left="1440"/>
        <w:rPr>
          <w:sz w:val="24"/>
        </w:rPr>
      </w:pPr>
    </w:p>
    <w:p w:rsidR="003A78A9" w:rsidRDefault="003A78A9" w:rsidP="003A78A9">
      <w:pPr>
        <w:pStyle w:val="ListParagraph"/>
        <w:numPr>
          <w:ilvl w:val="0"/>
          <w:numId w:val="1"/>
        </w:numPr>
        <w:rPr>
          <w:b/>
          <w:sz w:val="24"/>
        </w:rPr>
      </w:pPr>
      <w:r w:rsidRPr="00705FEC">
        <w:rPr>
          <w:b/>
          <w:sz w:val="24"/>
        </w:rPr>
        <w:t>Reply to Query – IV. MYT for 4</w:t>
      </w:r>
      <w:r w:rsidRPr="00705FEC">
        <w:rPr>
          <w:b/>
          <w:sz w:val="24"/>
          <w:vertAlign w:val="superscript"/>
        </w:rPr>
        <w:t>th</w:t>
      </w:r>
      <w:r w:rsidRPr="00705FEC">
        <w:rPr>
          <w:b/>
          <w:sz w:val="24"/>
        </w:rPr>
        <w:t xml:space="preserve">  MYT Control Period from FY 2019-20 to FY 2023-24 (Point No.</w:t>
      </w:r>
      <w:r>
        <w:rPr>
          <w:b/>
          <w:sz w:val="24"/>
        </w:rPr>
        <w:t>17</w:t>
      </w:r>
      <w:r w:rsidRPr="00705FEC">
        <w:rPr>
          <w:b/>
          <w:sz w:val="24"/>
        </w:rPr>
        <w:t>)</w:t>
      </w:r>
    </w:p>
    <w:p w:rsidR="00D64EDC" w:rsidRDefault="00FE313B" w:rsidP="00D64EDC">
      <w:pPr>
        <w:pStyle w:val="ListParagraph"/>
        <w:rPr>
          <w:sz w:val="24"/>
        </w:rPr>
      </w:pPr>
      <w:r w:rsidRPr="00E20C52">
        <w:rPr>
          <w:sz w:val="24"/>
        </w:rPr>
        <w:t xml:space="preserve"> </w:t>
      </w:r>
      <w:r w:rsidR="00427D17">
        <w:rPr>
          <w:sz w:val="24"/>
        </w:rPr>
        <w:t xml:space="preserve">The wheeling charges computation </w:t>
      </w:r>
      <w:r w:rsidR="00D64EDC">
        <w:rPr>
          <w:sz w:val="24"/>
        </w:rPr>
        <w:t xml:space="preserve">sheet is enclosed as </w:t>
      </w:r>
      <w:r w:rsidR="00D64EDC" w:rsidRPr="00C70292">
        <w:rPr>
          <w:b/>
          <w:sz w:val="24"/>
          <w:u w:val="single"/>
        </w:rPr>
        <w:t>Annexure-IV</w:t>
      </w:r>
      <w:r w:rsidR="00C70292">
        <w:rPr>
          <w:sz w:val="24"/>
        </w:rPr>
        <w:t>.</w:t>
      </w:r>
    </w:p>
    <w:p w:rsidR="003A78A9" w:rsidRDefault="003A78A9" w:rsidP="003A78A9">
      <w:pPr>
        <w:pStyle w:val="ListParagraph"/>
        <w:numPr>
          <w:ilvl w:val="0"/>
          <w:numId w:val="1"/>
        </w:numPr>
        <w:rPr>
          <w:b/>
          <w:sz w:val="24"/>
        </w:rPr>
      </w:pPr>
      <w:r w:rsidRPr="00705FEC">
        <w:rPr>
          <w:b/>
          <w:sz w:val="24"/>
        </w:rPr>
        <w:t>Reply to Query – IV. MYT for 4</w:t>
      </w:r>
      <w:r w:rsidRPr="00705FEC">
        <w:rPr>
          <w:b/>
          <w:sz w:val="24"/>
          <w:vertAlign w:val="superscript"/>
        </w:rPr>
        <w:t>th</w:t>
      </w:r>
      <w:r w:rsidRPr="00705FEC">
        <w:rPr>
          <w:b/>
          <w:sz w:val="24"/>
        </w:rPr>
        <w:t xml:space="preserve">  MYT Control Period from FY 2019-20 to FY 2023-24 (Point No.</w:t>
      </w:r>
      <w:r>
        <w:rPr>
          <w:b/>
          <w:sz w:val="24"/>
        </w:rPr>
        <w:t>18</w:t>
      </w:r>
      <w:r w:rsidRPr="00705FEC">
        <w:rPr>
          <w:b/>
          <w:sz w:val="24"/>
        </w:rPr>
        <w:t>)</w:t>
      </w:r>
    </w:p>
    <w:p w:rsidR="00685C19" w:rsidRDefault="00685C19" w:rsidP="003E37CE">
      <w:pPr>
        <w:pStyle w:val="ListParagraph"/>
        <w:rPr>
          <w:b/>
          <w:sz w:val="24"/>
        </w:rPr>
      </w:pPr>
      <w:r>
        <w:rPr>
          <w:b/>
          <w:sz w:val="24"/>
        </w:rPr>
        <w:t>Reply:</w:t>
      </w:r>
      <w:r w:rsidR="006E22ED">
        <w:rPr>
          <w:b/>
          <w:sz w:val="24"/>
        </w:rPr>
        <w:t xml:space="preserve"> </w:t>
      </w:r>
      <w:r w:rsidR="00D623B9">
        <w:rPr>
          <w:sz w:val="24"/>
        </w:rPr>
        <w:t xml:space="preserve">The wheeling revenue computation is already submitted in Form 1c of the TSSPDCL MYT Distribution Business Forms. The Form is also enclosed as </w:t>
      </w:r>
      <w:r w:rsidR="0064032B">
        <w:rPr>
          <w:b/>
          <w:sz w:val="24"/>
          <w:u w:val="single"/>
        </w:rPr>
        <w:t>Annexure-V</w:t>
      </w:r>
      <w:r w:rsidR="0064032B" w:rsidRPr="00317771">
        <w:rPr>
          <w:b/>
          <w:sz w:val="24"/>
        </w:rPr>
        <w:t xml:space="preserve"> .</w:t>
      </w:r>
    </w:p>
    <w:p w:rsidR="00685C19" w:rsidRDefault="00685C19" w:rsidP="00685C19">
      <w:pPr>
        <w:pStyle w:val="ListParagraph"/>
        <w:rPr>
          <w:b/>
          <w:sz w:val="24"/>
        </w:rPr>
      </w:pPr>
    </w:p>
    <w:p w:rsidR="00D96A77" w:rsidRPr="002D0EBF" w:rsidRDefault="00D96A77" w:rsidP="002D0EBF">
      <w:pPr>
        <w:pStyle w:val="ListParagraph"/>
        <w:rPr>
          <w:b/>
          <w:sz w:val="24"/>
        </w:rPr>
      </w:pPr>
    </w:p>
    <w:p w:rsidR="002D0EBF" w:rsidRPr="00D96A77" w:rsidRDefault="002D0EBF" w:rsidP="00D96A77">
      <w:pPr>
        <w:rPr>
          <w:b/>
          <w:sz w:val="24"/>
        </w:rPr>
      </w:pPr>
    </w:p>
    <w:sectPr w:rsidR="002D0EBF" w:rsidRPr="00D96A77" w:rsidSect="00C604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922FB"/>
    <w:multiLevelType w:val="hybridMultilevel"/>
    <w:tmpl w:val="5DD6503A"/>
    <w:lvl w:ilvl="0" w:tplc="072473D0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B70580"/>
    <w:multiLevelType w:val="hybridMultilevel"/>
    <w:tmpl w:val="D95ADB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D92036"/>
    <w:multiLevelType w:val="hybridMultilevel"/>
    <w:tmpl w:val="BC06AC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CD6778"/>
    <w:multiLevelType w:val="hybridMultilevel"/>
    <w:tmpl w:val="790EA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3D6DDB"/>
    <w:multiLevelType w:val="hybridMultilevel"/>
    <w:tmpl w:val="835CD52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3FE2189"/>
    <w:multiLevelType w:val="hybridMultilevel"/>
    <w:tmpl w:val="8402E5BC"/>
    <w:lvl w:ilvl="0" w:tplc="CB1CAFA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824FD5"/>
    <w:multiLevelType w:val="hybridMultilevel"/>
    <w:tmpl w:val="A8E24E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3D5360"/>
    <w:multiLevelType w:val="hybridMultilevel"/>
    <w:tmpl w:val="9DB250E6"/>
    <w:lvl w:ilvl="0" w:tplc="A2E0F686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496004"/>
    <w:multiLevelType w:val="hybridMultilevel"/>
    <w:tmpl w:val="7A826A88"/>
    <w:lvl w:ilvl="0" w:tplc="F0F6CFA8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0"/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325"/>
    <w:rsid w:val="0000030D"/>
    <w:rsid w:val="00036071"/>
    <w:rsid w:val="00062B66"/>
    <w:rsid w:val="00064D1F"/>
    <w:rsid w:val="0007306D"/>
    <w:rsid w:val="0008211B"/>
    <w:rsid w:val="00084EFA"/>
    <w:rsid w:val="000D05F1"/>
    <w:rsid w:val="000E7B93"/>
    <w:rsid w:val="00117EBA"/>
    <w:rsid w:val="001647C7"/>
    <w:rsid w:val="001869B7"/>
    <w:rsid w:val="001A3316"/>
    <w:rsid w:val="001A73FB"/>
    <w:rsid w:val="001D40E5"/>
    <w:rsid w:val="001D4435"/>
    <w:rsid w:val="001D65D7"/>
    <w:rsid w:val="00242CB2"/>
    <w:rsid w:val="002722BF"/>
    <w:rsid w:val="002D0EBF"/>
    <w:rsid w:val="002D72D5"/>
    <w:rsid w:val="002F54CC"/>
    <w:rsid w:val="00317771"/>
    <w:rsid w:val="0032470D"/>
    <w:rsid w:val="00373E21"/>
    <w:rsid w:val="00384056"/>
    <w:rsid w:val="00386FFB"/>
    <w:rsid w:val="003A78A9"/>
    <w:rsid w:val="003B558D"/>
    <w:rsid w:val="003D7120"/>
    <w:rsid w:val="003E37CE"/>
    <w:rsid w:val="003F0102"/>
    <w:rsid w:val="00400DB2"/>
    <w:rsid w:val="00417F22"/>
    <w:rsid w:val="00427D17"/>
    <w:rsid w:val="00430D2C"/>
    <w:rsid w:val="00451354"/>
    <w:rsid w:val="0045349D"/>
    <w:rsid w:val="00455A90"/>
    <w:rsid w:val="00466855"/>
    <w:rsid w:val="00485159"/>
    <w:rsid w:val="004960F1"/>
    <w:rsid w:val="004C4D06"/>
    <w:rsid w:val="004D7D14"/>
    <w:rsid w:val="00504325"/>
    <w:rsid w:val="005334CD"/>
    <w:rsid w:val="00555938"/>
    <w:rsid w:val="00566A56"/>
    <w:rsid w:val="005D0D68"/>
    <w:rsid w:val="0063131C"/>
    <w:rsid w:val="0064032B"/>
    <w:rsid w:val="0064380C"/>
    <w:rsid w:val="00681D5F"/>
    <w:rsid w:val="00685C19"/>
    <w:rsid w:val="006E22ED"/>
    <w:rsid w:val="006F2751"/>
    <w:rsid w:val="006F6DC8"/>
    <w:rsid w:val="00700028"/>
    <w:rsid w:val="00705FEC"/>
    <w:rsid w:val="00731646"/>
    <w:rsid w:val="007722A6"/>
    <w:rsid w:val="00792DC5"/>
    <w:rsid w:val="007931C4"/>
    <w:rsid w:val="007D1EF5"/>
    <w:rsid w:val="007D3F07"/>
    <w:rsid w:val="007E3C86"/>
    <w:rsid w:val="007E716F"/>
    <w:rsid w:val="00801C77"/>
    <w:rsid w:val="0082178F"/>
    <w:rsid w:val="00841C72"/>
    <w:rsid w:val="008A3FB9"/>
    <w:rsid w:val="008C2F33"/>
    <w:rsid w:val="008F308F"/>
    <w:rsid w:val="009076C4"/>
    <w:rsid w:val="00940446"/>
    <w:rsid w:val="009566A0"/>
    <w:rsid w:val="00977BF8"/>
    <w:rsid w:val="00983A77"/>
    <w:rsid w:val="00994568"/>
    <w:rsid w:val="009958D3"/>
    <w:rsid w:val="009F0485"/>
    <w:rsid w:val="00A0547C"/>
    <w:rsid w:val="00A14F8E"/>
    <w:rsid w:val="00A33FCC"/>
    <w:rsid w:val="00A340D1"/>
    <w:rsid w:val="00A87D75"/>
    <w:rsid w:val="00AB6017"/>
    <w:rsid w:val="00AF5041"/>
    <w:rsid w:val="00B1223D"/>
    <w:rsid w:val="00B376FA"/>
    <w:rsid w:val="00B6252B"/>
    <w:rsid w:val="00B63095"/>
    <w:rsid w:val="00B84941"/>
    <w:rsid w:val="00B91CEE"/>
    <w:rsid w:val="00BC4B15"/>
    <w:rsid w:val="00BF3D4C"/>
    <w:rsid w:val="00C22FD6"/>
    <w:rsid w:val="00C44EDF"/>
    <w:rsid w:val="00C60436"/>
    <w:rsid w:val="00C6572B"/>
    <w:rsid w:val="00C70292"/>
    <w:rsid w:val="00C93C1E"/>
    <w:rsid w:val="00CD0148"/>
    <w:rsid w:val="00D24E3D"/>
    <w:rsid w:val="00D37FA3"/>
    <w:rsid w:val="00D547C7"/>
    <w:rsid w:val="00D54892"/>
    <w:rsid w:val="00D623B9"/>
    <w:rsid w:val="00D64EDC"/>
    <w:rsid w:val="00D86CDB"/>
    <w:rsid w:val="00D96A77"/>
    <w:rsid w:val="00D97000"/>
    <w:rsid w:val="00DD6E93"/>
    <w:rsid w:val="00DE1373"/>
    <w:rsid w:val="00E10286"/>
    <w:rsid w:val="00E20C52"/>
    <w:rsid w:val="00E57949"/>
    <w:rsid w:val="00E735BF"/>
    <w:rsid w:val="00E85D3B"/>
    <w:rsid w:val="00EA591A"/>
    <w:rsid w:val="00EB2E83"/>
    <w:rsid w:val="00EB3059"/>
    <w:rsid w:val="00EB4B9B"/>
    <w:rsid w:val="00EC03CB"/>
    <w:rsid w:val="00EE69C3"/>
    <w:rsid w:val="00F204C6"/>
    <w:rsid w:val="00F22A0C"/>
    <w:rsid w:val="00F26998"/>
    <w:rsid w:val="00F3171F"/>
    <w:rsid w:val="00F540DB"/>
    <w:rsid w:val="00FD128A"/>
    <w:rsid w:val="00FD1681"/>
    <w:rsid w:val="00FE3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03CB"/>
    <w:pPr>
      <w:ind w:left="720"/>
      <w:contextualSpacing/>
    </w:pPr>
  </w:style>
  <w:style w:type="paragraph" w:styleId="NoSpacing">
    <w:name w:val="No Spacing"/>
    <w:uiPriority w:val="1"/>
    <w:qFormat/>
    <w:rsid w:val="001D65D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4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89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247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03CB"/>
    <w:pPr>
      <w:ind w:left="720"/>
      <w:contextualSpacing/>
    </w:pPr>
  </w:style>
  <w:style w:type="paragraph" w:styleId="NoSpacing">
    <w:name w:val="No Spacing"/>
    <w:uiPriority w:val="1"/>
    <w:qFormat/>
    <w:rsid w:val="001D65D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4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89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247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12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5</Pages>
  <Words>1061</Words>
  <Characters>6052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AAORAC</dc:creator>
  <cp:keywords/>
  <dc:description/>
  <cp:lastModifiedBy>AAORAC</cp:lastModifiedBy>
  <cp:revision>140</cp:revision>
  <cp:lastPrinted>2020-01-13T13:50:00Z</cp:lastPrinted>
  <dcterms:created xsi:type="dcterms:W3CDTF">2020-01-13T11:00:00Z</dcterms:created>
  <dcterms:modified xsi:type="dcterms:W3CDTF">2020-01-20T05:31:00Z</dcterms:modified>
</cp:coreProperties>
</file>